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7870B1C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55B3E44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51C1509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16623CC0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38F05E3C" w14:textId="77777777" w:rsidR="008D5491" w:rsidRDefault="004C1E47" w:rsidP="00952B84">
      <w:pPr>
        <w:spacing w:before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  <w:r w:rsidRPr="004E0A6B">
        <w:rPr>
          <w:rFonts w:ascii="Arial" w:hAnsi="Arial" w:cs="Arial"/>
          <w:b/>
          <w:color w:val="0070C0"/>
          <w:sz w:val="28"/>
          <w:szCs w:val="28"/>
        </w:rPr>
        <w:t xml:space="preserve">Rady pro výzkum, vývoj a inovace </w:t>
      </w:r>
    </w:p>
    <w:p w14:paraId="3F22B5C5" w14:textId="439019F0" w:rsidR="00AF6B2A" w:rsidRPr="004E0A6B" w:rsidRDefault="0006296F" w:rsidP="008D5491">
      <w:pPr>
        <w:jc w:val="center"/>
        <w:rPr>
          <w:rStyle w:val="Siln"/>
          <w:rFonts w:ascii="Arial" w:hAnsi="Arial" w:cs="Arial"/>
          <w:bCs w:val="0"/>
          <w:color w:val="0070C0"/>
          <w:sz w:val="28"/>
          <w:szCs w:val="28"/>
        </w:rPr>
      </w:pPr>
      <w:bookmarkStart w:id="0" w:name="_Hlk200440553"/>
      <w:r>
        <w:rPr>
          <w:rFonts w:ascii="Arial" w:hAnsi="Arial" w:cs="Arial"/>
          <w:b/>
          <w:color w:val="0070C0"/>
          <w:sz w:val="28"/>
          <w:szCs w:val="28"/>
        </w:rPr>
        <w:t>k návrhu</w:t>
      </w:r>
      <w:r w:rsidR="002351AE">
        <w:rPr>
          <w:rFonts w:ascii="Arial" w:hAnsi="Arial" w:cs="Arial"/>
          <w:b/>
          <w:color w:val="0070C0"/>
          <w:sz w:val="28"/>
          <w:szCs w:val="28"/>
        </w:rPr>
        <w:t xml:space="preserve"> změn</w:t>
      </w:r>
      <w:r>
        <w:rPr>
          <w:rFonts w:ascii="Arial" w:hAnsi="Arial" w:cs="Arial"/>
          <w:b/>
          <w:color w:val="0070C0"/>
          <w:sz w:val="28"/>
          <w:szCs w:val="28"/>
        </w:rPr>
        <w:t>y</w:t>
      </w:r>
      <w:r w:rsidR="002351AE">
        <w:rPr>
          <w:rFonts w:ascii="Arial" w:hAnsi="Arial" w:cs="Arial"/>
          <w:b/>
          <w:color w:val="0070C0"/>
          <w:sz w:val="28"/>
          <w:szCs w:val="28"/>
        </w:rPr>
        <w:t xml:space="preserve"> skupiny grantových projektů excelence v základní výzkumu EXPRO</w:t>
      </w:r>
      <w:bookmarkEnd w:id="0"/>
    </w:p>
    <w:p w14:paraId="213BDCE3" w14:textId="31A40CB3" w:rsidR="004C1E47" w:rsidRPr="00952B84" w:rsidRDefault="004C1E47" w:rsidP="004C3B42">
      <w:pPr>
        <w:pBdr>
          <w:bottom w:val="single" w:sz="6" w:space="1" w:color="auto"/>
        </w:pBdr>
        <w:spacing w:before="120"/>
        <w:rPr>
          <w:rFonts w:ascii="Arial" w:hAnsi="Arial" w:cs="Arial"/>
          <w:b/>
          <w:color w:val="0070C0"/>
          <w:sz w:val="16"/>
          <w:szCs w:val="16"/>
        </w:rPr>
      </w:pPr>
    </w:p>
    <w:p w14:paraId="0AE0DE37" w14:textId="77777777" w:rsidR="00AF6B2A" w:rsidRPr="00952B84" w:rsidRDefault="00AF6B2A" w:rsidP="004C3B42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>Způsob předložení materiálu</w:t>
      </w:r>
    </w:p>
    <w:p w14:paraId="4D7CF686" w14:textId="3AC3940C" w:rsidR="00FC3087" w:rsidRPr="00293583" w:rsidRDefault="00AD4733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E7EB6">
        <w:rPr>
          <w:rFonts w:ascii="Arial" w:eastAsiaTheme="minorHAnsi" w:hAnsi="Arial" w:cs="Arial"/>
          <w:sz w:val="22"/>
          <w:szCs w:val="22"/>
          <w:lang w:eastAsia="en-US"/>
        </w:rPr>
        <w:t>Návrh změny skupiny grantových projektů Grantové projekty excelence v základním výzkumu EXPRO (dále jen „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SGP </w:t>
      </w:r>
      <w:r w:rsidRPr="00EE7EB6">
        <w:rPr>
          <w:rFonts w:ascii="Arial" w:eastAsiaTheme="minorHAnsi" w:hAnsi="Arial" w:cs="Arial"/>
          <w:sz w:val="22"/>
          <w:szCs w:val="22"/>
          <w:lang w:eastAsia="en-US"/>
        </w:rPr>
        <w:t>EXPRO“) se předkládá Radě pro výzkum, vývoj a inovace (dále jen „Rada“) na základě žádosti Grantové agentury České republiky (dále jen „poskytovatel“</w:t>
      </w:r>
      <w:r w:rsidR="00D0565F">
        <w:rPr>
          <w:rFonts w:ascii="Arial" w:eastAsiaTheme="minorHAnsi" w:hAnsi="Arial" w:cs="Arial"/>
          <w:sz w:val="22"/>
          <w:szCs w:val="22"/>
          <w:lang w:eastAsia="en-US"/>
        </w:rPr>
        <w:t xml:space="preserve"> nebo „GA ČR“</w:t>
      </w:r>
      <w:r w:rsidRPr="00EE7EB6">
        <w:rPr>
          <w:rFonts w:ascii="Arial" w:eastAsiaTheme="minorHAnsi" w:hAnsi="Arial" w:cs="Arial"/>
          <w:sz w:val="22"/>
          <w:szCs w:val="22"/>
          <w:lang w:eastAsia="en-US"/>
        </w:rPr>
        <w:t>) ze</w:t>
      </w:r>
      <w:r w:rsidR="000C2244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EE7EB6">
        <w:rPr>
          <w:rFonts w:ascii="Arial" w:eastAsiaTheme="minorHAnsi" w:hAnsi="Arial" w:cs="Arial"/>
          <w:sz w:val="22"/>
          <w:szCs w:val="22"/>
          <w:lang w:eastAsia="en-US"/>
        </w:rPr>
        <w:t>dne 7. května 2025, č. j. 42155/2025/GAČR/PAK.</w:t>
      </w:r>
    </w:p>
    <w:p w14:paraId="3DAF3848" w14:textId="77777777" w:rsidR="00AF6B2A" w:rsidRPr="00952B84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t xml:space="preserve">Projednání dokumentu Radou </w:t>
      </w:r>
    </w:p>
    <w:p w14:paraId="060EEB84" w14:textId="2F8511FA" w:rsidR="00AF6B2A" w:rsidRPr="00AF6B2A" w:rsidRDefault="00AD4733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eastAsiaTheme="minorHAnsi" w:hAnsi="Arial" w:cs="Arial"/>
          <w:sz w:val="22"/>
          <w:szCs w:val="22"/>
          <w:lang w:eastAsia="en-US"/>
        </w:rPr>
        <w:t xml:space="preserve">Návrh </w:t>
      </w:r>
      <w:r>
        <w:rPr>
          <w:rFonts w:ascii="Arial" w:eastAsiaTheme="minorHAnsi" w:hAnsi="Arial" w:cs="Arial"/>
          <w:sz w:val="22"/>
          <w:szCs w:val="22"/>
          <w:lang w:eastAsia="en-US"/>
        </w:rPr>
        <w:t>změny SGP EXPRO</w:t>
      </w:r>
      <w:r w:rsidRPr="00305FD8">
        <w:rPr>
          <w:rFonts w:ascii="Arial" w:eastAsiaTheme="minorHAnsi" w:hAnsi="Arial" w:cs="Arial"/>
          <w:sz w:val="22"/>
          <w:szCs w:val="22"/>
          <w:lang w:eastAsia="en-US"/>
        </w:rPr>
        <w:t xml:space="preserve"> byl projednán na </w:t>
      </w:r>
      <w:r>
        <w:rPr>
          <w:rFonts w:ascii="Arial" w:eastAsiaTheme="minorHAnsi" w:hAnsi="Arial" w:cs="Arial"/>
          <w:sz w:val="22"/>
          <w:szCs w:val="22"/>
          <w:lang w:eastAsia="en-US"/>
        </w:rPr>
        <w:t>413</w:t>
      </w:r>
      <w:r w:rsidRPr="00305FD8">
        <w:rPr>
          <w:rFonts w:ascii="Arial" w:eastAsiaTheme="minorHAnsi" w:hAnsi="Arial" w:cs="Arial"/>
          <w:sz w:val="22"/>
          <w:szCs w:val="22"/>
          <w:lang w:eastAsia="en-US"/>
        </w:rPr>
        <w:t>. zasedání Rady dne 2</w:t>
      </w:r>
      <w:r>
        <w:rPr>
          <w:rFonts w:ascii="Arial" w:eastAsiaTheme="minorHAnsi" w:hAnsi="Arial" w:cs="Arial"/>
          <w:sz w:val="22"/>
          <w:szCs w:val="22"/>
          <w:lang w:eastAsia="en-US"/>
        </w:rPr>
        <w:t>7</w:t>
      </w:r>
      <w:r w:rsidRPr="00305FD8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>
        <w:rPr>
          <w:rFonts w:ascii="Arial" w:eastAsiaTheme="minorHAnsi" w:hAnsi="Arial" w:cs="Arial"/>
          <w:sz w:val="22"/>
          <w:szCs w:val="22"/>
          <w:lang w:eastAsia="en-US"/>
        </w:rPr>
        <w:t>června 2025</w:t>
      </w:r>
      <w:r w:rsidRPr="00305FD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56DD3C4" w14:textId="099884AA" w:rsidR="00AF6B2A" w:rsidRDefault="00AD4733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Program a jeho dosavadní průběh</w:t>
      </w:r>
    </w:p>
    <w:p w14:paraId="2B06B1FD" w14:textId="00B29AF8" w:rsidR="000C2244" w:rsidRPr="000C2244" w:rsidRDefault="000C2244" w:rsidP="000C2244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0C2244">
        <w:rPr>
          <w:rFonts w:ascii="Arial" w:hAnsi="Arial" w:cs="Arial"/>
          <w:bCs/>
          <w:sz w:val="22"/>
          <w:szCs w:val="22"/>
        </w:rPr>
        <w:t>Podpora skupiny grantových projektů Grantové projekty excelence v základním výzkumu EXPRO s identifikačním kódem „GX“, schválené usnesením vlády č. 756 ze dne 23. října 2017, ve znění usnesení vlády č. 855 ze dne 15. listopadu 2023,</w:t>
      </w:r>
      <w:r w:rsidR="00D0565F">
        <w:rPr>
          <w:rFonts w:ascii="Arial" w:hAnsi="Arial" w:cs="Arial"/>
          <w:bCs/>
          <w:sz w:val="22"/>
          <w:szCs w:val="22"/>
        </w:rPr>
        <w:t xml:space="preserve"> je</w:t>
      </w:r>
      <w:r w:rsidRPr="000C2244">
        <w:rPr>
          <w:rFonts w:ascii="Arial" w:hAnsi="Arial" w:cs="Arial"/>
          <w:bCs/>
          <w:sz w:val="22"/>
          <w:szCs w:val="22"/>
        </w:rPr>
        <w:t xml:space="preserve"> poskytována od roku 2019 s</w:t>
      </w:r>
      <w:r>
        <w:rPr>
          <w:rFonts w:ascii="Arial" w:hAnsi="Arial" w:cs="Arial"/>
          <w:bCs/>
          <w:sz w:val="22"/>
          <w:szCs w:val="22"/>
        </w:rPr>
        <w:t> </w:t>
      </w:r>
      <w:r w:rsidRPr="000C2244">
        <w:rPr>
          <w:rFonts w:ascii="Arial" w:hAnsi="Arial" w:cs="Arial"/>
          <w:bCs/>
          <w:sz w:val="22"/>
          <w:szCs w:val="22"/>
        </w:rPr>
        <w:t>plánovaným termínem ukončení podpory v roce 2030.</w:t>
      </w:r>
    </w:p>
    <w:p w14:paraId="3AE6F434" w14:textId="5372A409" w:rsidR="000C2244" w:rsidRPr="000C2244" w:rsidRDefault="000C2244" w:rsidP="000C2244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0C2244">
        <w:rPr>
          <w:rFonts w:ascii="Arial" w:hAnsi="Arial" w:cs="Arial"/>
          <w:bCs/>
          <w:sz w:val="22"/>
          <w:szCs w:val="22"/>
        </w:rPr>
        <w:t>První veřejná soutěž byla vyhlášena v roce 2018 se zahájením poskytování podpory v roce 2019. Další veřejné soutěže byly vyhlášeny v letech 2019, 2020, 2022 a 2024 pro projekty s</w:t>
      </w:r>
      <w:r>
        <w:rPr>
          <w:rFonts w:ascii="Arial" w:hAnsi="Arial" w:cs="Arial"/>
          <w:bCs/>
          <w:sz w:val="22"/>
          <w:szCs w:val="22"/>
        </w:rPr>
        <w:t> </w:t>
      </w:r>
      <w:r w:rsidRPr="000C2244">
        <w:rPr>
          <w:rFonts w:ascii="Arial" w:hAnsi="Arial" w:cs="Arial"/>
          <w:bCs/>
          <w:sz w:val="22"/>
          <w:szCs w:val="22"/>
        </w:rPr>
        <w:t>počátkem řešení v letech 2020, 2021, 2023 a 2025. Následně měl být vyhodnocen přínos skupiny grantových projektů.</w:t>
      </w:r>
    </w:p>
    <w:p w14:paraId="493338B2" w14:textId="72BB01B9" w:rsidR="000C2244" w:rsidRPr="000C2244" w:rsidRDefault="000C2244" w:rsidP="000C224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C2244">
        <w:rPr>
          <w:rFonts w:ascii="Arial" w:hAnsi="Arial" w:cs="Arial"/>
          <w:sz w:val="22"/>
          <w:szCs w:val="22"/>
        </w:rPr>
        <w:t>SGP EXPRO je nástrojem k dosažení strategických a rozvojových cílů GA ČR uvedených v Koncepci činnosti Grantové agentury České republiky 2021+ (schválen</w:t>
      </w:r>
      <w:r w:rsidR="00D0565F">
        <w:rPr>
          <w:rFonts w:ascii="Arial" w:hAnsi="Arial" w:cs="Arial"/>
          <w:sz w:val="22"/>
          <w:szCs w:val="22"/>
        </w:rPr>
        <w:t>é</w:t>
      </w:r>
      <w:r w:rsidRPr="000C2244">
        <w:rPr>
          <w:rFonts w:ascii="Arial" w:hAnsi="Arial" w:cs="Arial"/>
          <w:sz w:val="22"/>
          <w:szCs w:val="22"/>
        </w:rPr>
        <w:t xml:space="preserve"> usnesením vlády ze dne 15. listopadu 2021 č. 1021</w:t>
      </w:r>
      <w:r w:rsidR="00A751D5">
        <w:rPr>
          <w:rFonts w:ascii="Arial" w:hAnsi="Arial" w:cs="Arial"/>
          <w:sz w:val="22"/>
          <w:szCs w:val="22"/>
        </w:rPr>
        <w:t>)</w:t>
      </w:r>
      <w:r w:rsidRPr="000C2244">
        <w:rPr>
          <w:rFonts w:ascii="Arial" w:hAnsi="Arial" w:cs="Arial"/>
          <w:sz w:val="22"/>
          <w:szCs w:val="22"/>
        </w:rPr>
        <w:t>. Hlavním cílem GA ČR pro následující roky je v maximální možné míře vytvářet podmínky pro excelentní výzkum ve všech vědních oblastech a</w:t>
      </w:r>
      <w:r w:rsidR="00D0565F">
        <w:rPr>
          <w:rFonts w:ascii="Arial" w:hAnsi="Arial" w:cs="Arial"/>
          <w:sz w:val="22"/>
          <w:szCs w:val="22"/>
        </w:rPr>
        <w:t> </w:t>
      </w:r>
      <w:r w:rsidRPr="000C2244">
        <w:rPr>
          <w:rFonts w:ascii="Arial" w:hAnsi="Arial" w:cs="Arial"/>
          <w:sz w:val="22"/>
          <w:szCs w:val="22"/>
        </w:rPr>
        <w:t>v</w:t>
      </w:r>
      <w:r w:rsidR="00D0565F">
        <w:rPr>
          <w:rFonts w:ascii="Arial" w:hAnsi="Arial" w:cs="Arial"/>
          <w:sz w:val="22"/>
          <w:szCs w:val="22"/>
        </w:rPr>
        <w:t> </w:t>
      </w:r>
      <w:r w:rsidRPr="000C2244">
        <w:rPr>
          <w:rFonts w:ascii="Arial" w:hAnsi="Arial" w:cs="Arial"/>
          <w:sz w:val="22"/>
          <w:szCs w:val="22"/>
        </w:rPr>
        <w:t xml:space="preserve">návaznosti na současný systém zlepšovat podmínky pro podporu grantových projektů základního výzkumu. </w:t>
      </w:r>
    </w:p>
    <w:p w14:paraId="4D12DB48" w14:textId="122F68D3" w:rsidR="000C2244" w:rsidRPr="000C2244" w:rsidRDefault="000C2244" w:rsidP="000C224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C2244">
        <w:rPr>
          <w:rFonts w:ascii="Arial" w:hAnsi="Arial" w:cs="Arial"/>
          <w:sz w:val="22"/>
          <w:szCs w:val="22"/>
        </w:rPr>
        <w:t>Z perspektivy cílů a dopadů má SGP EXPRO ambici: (1) významně pozvednout kvalitu vědy nejen v rámci dotované výzkumné skupiny, ale také, zejména v souvislosti s nastavovanými standardy vědy a pracovního prostředí, v jejím okolí v rámci instituce; (2) podpořit kariéru mladých vědeckých pracovníků v budování kariéry (pregraduální i postgraduální studenti); (3) motivovat, skrze přímý kontakt a zapojení se do špičkové vědy, k širšímu zájmu o dlouhodobé působení ve vědě a být v ní úspěšný; (4) překonávat bariéry ve smyslu mezinárodní spolupráce, a to zejména z perspektivy plnohodnotného zapojení výzkumníků do</w:t>
      </w:r>
      <w:r>
        <w:rPr>
          <w:rFonts w:ascii="Arial" w:hAnsi="Arial" w:cs="Arial"/>
          <w:sz w:val="22"/>
          <w:szCs w:val="22"/>
        </w:rPr>
        <w:t> </w:t>
      </w:r>
      <w:r w:rsidRPr="000C2244">
        <w:rPr>
          <w:rFonts w:ascii="Arial" w:hAnsi="Arial" w:cs="Arial"/>
          <w:sz w:val="22"/>
          <w:szCs w:val="22"/>
        </w:rPr>
        <w:t>mezinárodních konsorcií, což bezpochyby ovlivní i úspěšnost v získávání prestižních konsorciálních grantů.</w:t>
      </w:r>
    </w:p>
    <w:p w14:paraId="67733218" w14:textId="153F885F" w:rsidR="000C2244" w:rsidRPr="000C2244" w:rsidRDefault="000C2244" w:rsidP="000C2244">
      <w:pPr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0C2244">
        <w:rPr>
          <w:rFonts w:ascii="Arial" w:eastAsia="Calibri" w:hAnsi="Arial" w:cs="Arial"/>
          <w:sz w:val="22"/>
          <w:szCs w:val="22"/>
          <w:lang w:eastAsia="en-US"/>
        </w:rPr>
        <w:t>Dlouhodobým cílem SGP EXPRO bude zvýšená koncentrace průlomového základního výzkumu</w:t>
      </w:r>
      <w:r w:rsidRPr="0096752D">
        <w:t xml:space="preserve"> </w:t>
      </w:r>
      <w:r w:rsidRPr="000C2244">
        <w:rPr>
          <w:rFonts w:ascii="Arial" w:eastAsia="Calibri" w:hAnsi="Arial" w:cs="Arial"/>
          <w:sz w:val="22"/>
          <w:szCs w:val="22"/>
          <w:lang w:eastAsia="en-US"/>
        </w:rPr>
        <w:t>se značným aplikačním potenciálem, který se v budoucnosti projeví ve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0C2244">
        <w:rPr>
          <w:rFonts w:ascii="Arial" w:eastAsia="Calibri" w:hAnsi="Arial" w:cs="Arial"/>
          <w:sz w:val="22"/>
          <w:szCs w:val="22"/>
          <w:lang w:eastAsia="en-US"/>
        </w:rPr>
        <w:t xml:space="preserve">formě komercializace patentů, vzniku moderních technologií a bezesporu i mnohem významnějšího </w:t>
      </w:r>
      <w:r w:rsidRPr="000C2244">
        <w:rPr>
          <w:rFonts w:ascii="Arial" w:eastAsia="Calibri" w:hAnsi="Arial" w:cs="Arial"/>
          <w:sz w:val="22"/>
          <w:szCs w:val="22"/>
          <w:lang w:eastAsia="en-US"/>
        </w:rPr>
        <w:lastRenderedPageBreak/>
        <w:t>vnímání vědy a výzkumu širokou veřejností. Splnění těchto cílů je přitom v</w:t>
      </w:r>
      <w:r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0C2244">
        <w:rPr>
          <w:rFonts w:ascii="Arial" w:eastAsia="Calibri" w:hAnsi="Arial" w:cs="Arial"/>
          <w:sz w:val="22"/>
          <w:szCs w:val="22"/>
          <w:lang w:eastAsia="en-US"/>
        </w:rPr>
        <w:t xml:space="preserve">dlouhodobějším časovém horizontu měřitelné. </w:t>
      </w:r>
    </w:p>
    <w:p w14:paraId="4955B3DC" w14:textId="1BFE9AFD" w:rsidR="000C2244" w:rsidRPr="000C2244" w:rsidRDefault="000C2244" w:rsidP="000C224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C2244">
        <w:rPr>
          <w:rFonts w:ascii="Arial" w:eastAsiaTheme="minorHAnsi" w:hAnsi="Arial" w:cs="Arial"/>
          <w:sz w:val="22"/>
          <w:szCs w:val="22"/>
          <w:lang w:eastAsia="en-US"/>
        </w:rPr>
        <w:t xml:space="preserve">Navrhovaná změna spočívá v prodloužení </w:t>
      </w:r>
      <w:r w:rsidR="00D0565F">
        <w:rPr>
          <w:rFonts w:ascii="Arial" w:eastAsiaTheme="minorHAnsi" w:hAnsi="Arial" w:cs="Arial"/>
          <w:sz w:val="22"/>
          <w:szCs w:val="22"/>
          <w:lang w:eastAsia="en-US"/>
        </w:rPr>
        <w:t xml:space="preserve">stávající </w:t>
      </w:r>
      <w:r w:rsidRPr="000C2244">
        <w:rPr>
          <w:rFonts w:ascii="Arial" w:eastAsiaTheme="minorHAnsi" w:hAnsi="Arial" w:cs="Arial"/>
          <w:sz w:val="22"/>
          <w:szCs w:val="22"/>
          <w:lang w:eastAsia="en-US"/>
        </w:rPr>
        <w:t xml:space="preserve">SGP </w:t>
      </w:r>
      <w:r w:rsidRPr="000C2244">
        <w:rPr>
          <w:rFonts w:ascii="Arial" w:hAnsi="Arial" w:cs="Arial"/>
          <w:sz w:val="22"/>
          <w:szCs w:val="22"/>
        </w:rPr>
        <w:t>EXPRO o 5 let, tedy do roku 2035 s tím, že</w:t>
      </w:r>
      <w:r w:rsidR="00E70C40">
        <w:rPr>
          <w:rFonts w:ascii="Arial" w:hAnsi="Arial" w:cs="Arial"/>
          <w:sz w:val="22"/>
          <w:szCs w:val="22"/>
        </w:rPr>
        <w:t> </w:t>
      </w:r>
      <w:r w:rsidRPr="000C2244">
        <w:rPr>
          <w:rFonts w:ascii="Arial" w:hAnsi="Arial" w:cs="Arial"/>
          <w:sz w:val="22"/>
          <w:szCs w:val="22"/>
        </w:rPr>
        <w:t>budou vyhlášeny další tři veřejné soutěže v letech 2026, 2028 a 2030, s počátkem řešení projektů v letech 2027, 2029 a 2031. Doba řešení projektu bude nadále 5 let, předpokládá se</w:t>
      </w:r>
      <w:r w:rsidR="00E70C40">
        <w:rPr>
          <w:rFonts w:ascii="Arial" w:hAnsi="Arial" w:cs="Arial"/>
          <w:sz w:val="22"/>
          <w:szCs w:val="22"/>
        </w:rPr>
        <w:t> </w:t>
      </w:r>
      <w:r w:rsidRPr="000C2244">
        <w:rPr>
          <w:rFonts w:ascii="Arial" w:hAnsi="Arial" w:cs="Arial"/>
          <w:sz w:val="22"/>
          <w:szCs w:val="22"/>
        </w:rPr>
        <w:t>tedy, že podpora projektů s počátkem řešení v roce 2031 skončí v roce 2035.</w:t>
      </w:r>
    </w:p>
    <w:p w14:paraId="1956820F" w14:textId="4A75D161" w:rsidR="000C2244" w:rsidRPr="000C2244" w:rsidRDefault="000C2244" w:rsidP="000C2244">
      <w:pPr>
        <w:spacing w:before="240"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C2244">
        <w:rPr>
          <w:rFonts w:ascii="Arial" w:hAnsi="Arial" w:cs="Arial"/>
          <w:sz w:val="22"/>
          <w:szCs w:val="22"/>
        </w:rPr>
        <w:t>Poskytovatel zdůvodňuje změnu trvání SGP EXPRO nemožností vyhodnotit přínos SGP bez vyhodnocení alespoň 3 prvních soutěží, přičemž hodnocení první soutěže je plánováno na</w:t>
      </w:r>
      <w:r w:rsidR="00E70C40">
        <w:rPr>
          <w:rFonts w:ascii="Arial" w:hAnsi="Arial" w:cs="Arial"/>
          <w:sz w:val="22"/>
          <w:szCs w:val="22"/>
        </w:rPr>
        <w:t> </w:t>
      </w:r>
      <w:r w:rsidRPr="000C2244">
        <w:rPr>
          <w:rFonts w:ascii="Arial" w:hAnsi="Arial" w:cs="Arial"/>
          <w:sz w:val="22"/>
          <w:szCs w:val="22"/>
        </w:rPr>
        <w:t>červenec 2025.</w:t>
      </w:r>
    </w:p>
    <w:p w14:paraId="44514581" w14:textId="3ACC8F45" w:rsidR="000C2244" w:rsidRDefault="000C2244" w:rsidP="000C2244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K hodnocení návrhu změny SGP EXPRO Radou</w:t>
      </w:r>
    </w:p>
    <w:p w14:paraId="2BE5689E" w14:textId="77777777" w:rsidR="000C2244" w:rsidRPr="00305FD8" w:rsidRDefault="000C2244" w:rsidP="00F17B3B">
      <w:pPr>
        <w:pStyle w:val="Zkladntext2"/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hAnsi="Arial" w:cs="Arial"/>
          <w:sz w:val="22"/>
          <w:szCs w:val="22"/>
        </w:rPr>
        <w:t xml:space="preserve">Rada posoudila návrh </w:t>
      </w:r>
      <w:r>
        <w:rPr>
          <w:rFonts w:ascii="Arial" w:hAnsi="Arial" w:cs="Arial"/>
          <w:sz w:val="22"/>
          <w:szCs w:val="22"/>
        </w:rPr>
        <w:t xml:space="preserve">změny </w:t>
      </w:r>
      <w:r w:rsidRPr="00305FD8">
        <w:rPr>
          <w:rFonts w:ascii="Arial" w:hAnsi="Arial" w:cs="Arial"/>
          <w:sz w:val="22"/>
          <w:szCs w:val="22"/>
        </w:rPr>
        <w:t>Programu podle následujících dokumentů:</w:t>
      </w:r>
    </w:p>
    <w:p w14:paraId="1AEB3491" w14:textId="715A148A" w:rsidR="000C2244" w:rsidRPr="00305FD8" w:rsidRDefault="00673D89" w:rsidP="00F17B3B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C2244" w:rsidRPr="00305FD8">
        <w:rPr>
          <w:rFonts w:ascii="Arial" w:hAnsi="Arial" w:cs="Arial"/>
          <w:sz w:val="22"/>
          <w:szCs w:val="22"/>
        </w:rPr>
        <w:t>ákona č. 130/2002 Sb., o podpoře výzkumu, experimentálního vývoje a inovací z veřejných prostředků a o změně některých souvisejících zákonů, ve znění pozdějších předpisů, (dále jen „</w:t>
      </w:r>
      <w:r w:rsidR="00D0565F">
        <w:rPr>
          <w:rFonts w:ascii="Arial" w:hAnsi="Arial" w:cs="Arial"/>
          <w:sz w:val="22"/>
          <w:szCs w:val="22"/>
        </w:rPr>
        <w:t>Z</w:t>
      </w:r>
      <w:r w:rsidR="000C2244" w:rsidRPr="00305FD8">
        <w:rPr>
          <w:rFonts w:ascii="Arial" w:hAnsi="Arial" w:cs="Arial"/>
          <w:sz w:val="22"/>
          <w:szCs w:val="22"/>
        </w:rPr>
        <w:t>ákon č. 130/2002 Sb.“),</w:t>
      </w:r>
    </w:p>
    <w:p w14:paraId="4C4C56DF" w14:textId="77777777" w:rsidR="000C2244" w:rsidRPr="00305FD8" w:rsidRDefault="000C2244" w:rsidP="000C2244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hAnsi="Arial" w:cs="Arial"/>
          <w:sz w:val="22"/>
          <w:szCs w:val="22"/>
        </w:rPr>
        <w:t>M</w:t>
      </w:r>
      <w:r w:rsidRPr="00305FD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etodiky hodnocení výzkumných organizací a hodnocení programů účelové podpory výzkumu, vývoje a inovací, schválené usnesením vlády ze dne 8. února 2017 č. 107 (dále jen „Metodika M17+“),</w:t>
      </w:r>
    </w:p>
    <w:p w14:paraId="27AD8BB2" w14:textId="77777777" w:rsidR="000C2244" w:rsidRPr="00305FD8" w:rsidRDefault="000C2244" w:rsidP="000C2244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Základních principů přípravy a hodnocení programů a skupin grantových projektů výzkumu, vývoje a inovací (příloha k usnesení vlády ze dne 13. května 2015 č. 351), (dále jen „Principy“),</w:t>
      </w:r>
    </w:p>
    <w:p w14:paraId="4DC60B23" w14:textId="2E9A88F2" w:rsidR="000C2244" w:rsidRPr="00687C67" w:rsidRDefault="000C2244" w:rsidP="00687C67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05FD8">
        <w:rPr>
          <w:rFonts w:ascii="Arial" w:hAnsi="Arial" w:cs="Arial"/>
          <w:sz w:val="22"/>
          <w:szCs w:val="22"/>
        </w:rPr>
        <w:t>Národní politiky výzkumu, vývoje a inovací České republiky 2021+ (dále jen „NP</w:t>
      </w:r>
      <w:r>
        <w:rPr>
          <w:rFonts w:ascii="Arial" w:hAnsi="Arial" w:cs="Arial"/>
          <w:sz w:val="22"/>
          <w:szCs w:val="22"/>
        </w:rPr>
        <w:t> </w:t>
      </w:r>
      <w:proofErr w:type="spellStart"/>
      <w:r w:rsidRPr="00305FD8">
        <w:rPr>
          <w:rFonts w:ascii="Arial" w:hAnsi="Arial" w:cs="Arial"/>
          <w:sz w:val="22"/>
          <w:szCs w:val="22"/>
        </w:rPr>
        <w:t>VaVaI</w:t>
      </w:r>
      <w:proofErr w:type="spellEnd"/>
      <w:r w:rsidRPr="00305FD8">
        <w:rPr>
          <w:rFonts w:ascii="Arial" w:hAnsi="Arial" w:cs="Arial"/>
          <w:sz w:val="22"/>
          <w:szCs w:val="22"/>
        </w:rPr>
        <w:t xml:space="preserve"> 2021+“), schválené usnesením vlády ze dne 20. července 2020 č. 759,</w:t>
      </w:r>
    </w:p>
    <w:p w14:paraId="3CD8B0B5" w14:textId="77777777" w:rsidR="00673D89" w:rsidRPr="0019758E" w:rsidRDefault="00673D89" w:rsidP="00673D89">
      <w:pPr>
        <w:pStyle w:val="Odstavecseseznamem"/>
        <w:numPr>
          <w:ilvl w:val="0"/>
          <w:numId w:val="34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0C2244">
        <w:rPr>
          <w:rFonts w:ascii="Arial" w:hAnsi="Arial" w:cs="Arial"/>
          <w:sz w:val="22"/>
          <w:szCs w:val="22"/>
        </w:rPr>
        <w:t>Nařízení Komise (EU) č. 651/2014 ze dne 17. června 2014, kterým se v souladu s články 107 a 108 Smlouvy prohlašují určité kategorie podpory za slučitelné s vnitřním trhem (dále jen „Nařízení Komise (EU)“)</w:t>
      </w:r>
      <w:r>
        <w:rPr>
          <w:rFonts w:ascii="Arial" w:hAnsi="Arial" w:cs="Arial"/>
          <w:sz w:val="22"/>
          <w:szCs w:val="22"/>
        </w:rPr>
        <w:t xml:space="preserve"> </w:t>
      </w:r>
      <w:r w:rsidRPr="0019758E">
        <w:rPr>
          <w:rFonts w:ascii="Arial" w:hAnsi="Arial" w:cs="Arial"/>
          <w:sz w:val="22"/>
          <w:szCs w:val="22"/>
        </w:rPr>
        <w:t>v úpravě nařízení EK 2023/1315 v platném znění,</w:t>
      </w:r>
    </w:p>
    <w:p w14:paraId="4A02D65C" w14:textId="5FFFECAA" w:rsidR="000C2244" w:rsidRPr="000C2244" w:rsidRDefault="00673D89" w:rsidP="00673D89">
      <w:pPr>
        <w:pStyle w:val="Odstavecseseznamem"/>
        <w:numPr>
          <w:ilvl w:val="0"/>
          <w:numId w:val="34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19758E">
        <w:rPr>
          <w:rFonts w:ascii="Arial" w:hAnsi="Arial" w:cs="Arial"/>
          <w:sz w:val="22"/>
          <w:szCs w:val="22"/>
        </w:rPr>
        <w:t>Sdělení Komise – Rámec pro státní podporu výzkumu, vývoje a inovací - 2014/C 198/01 (dále jen „Rámec“), v úpravě Sdělení komise Rámec pro státní podporu výzkumu, vývoje a inovací 2022/C 414/01 v platném znění.</w:t>
      </w:r>
    </w:p>
    <w:p w14:paraId="1B444D51" w14:textId="7CB57616" w:rsidR="00AF6B2A" w:rsidRDefault="000C2244" w:rsidP="00923D06">
      <w:pPr>
        <w:pStyle w:val="Odstavecseseznamem"/>
        <w:numPr>
          <w:ilvl w:val="0"/>
          <w:numId w:val="26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305FD8">
        <w:rPr>
          <w:rFonts w:ascii="Arial" w:hAnsi="Arial" w:cs="Arial"/>
          <w:b/>
          <w:color w:val="0070C0"/>
          <w:sz w:val="22"/>
          <w:szCs w:val="22"/>
        </w:rPr>
        <w:t>Souhrnné a věcné zhodnocení materiálu Radou</w:t>
      </w:r>
    </w:p>
    <w:p w14:paraId="073A8CD5" w14:textId="021CB7C8" w:rsidR="00E70C40" w:rsidRPr="00E70C40" w:rsidRDefault="00E70C40" w:rsidP="00E70C4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70C40">
        <w:rPr>
          <w:rFonts w:ascii="Arial" w:hAnsi="Arial" w:cs="Arial"/>
          <w:sz w:val="22"/>
          <w:szCs w:val="22"/>
        </w:rPr>
        <w:t xml:space="preserve">Rada hodnotí náležitosti změny </w:t>
      </w:r>
      <w:r w:rsidR="00D0565F">
        <w:rPr>
          <w:rFonts w:ascii="Arial" w:hAnsi="Arial" w:cs="Arial"/>
          <w:sz w:val="22"/>
          <w:szCs w:val="22"/>
        </w:rPr>
        <w:t>SGP EXPRO</w:t>
      </w:r>
      <w:r w:rsidRPr="00E70C40">
        <w:rPr>
          <w:rFonts w:ascii="Arial" w:hAnsi="Arial" w:cs="Arial"/>
          <w:sz w:val="22"/>
          <w:szCs w:val="22"/>
        </w:rPr>
        <w:t xml:space="preserve"> ve smyslu § 5 odst. 3 zákona č. 130/2002 Sb.</w:t>
      </w:r>
    </w:p>
    <w:p w14:paraId="6C397921" w14:textId="77777777" w:rsidR="00E70C40" w:rsidRPr="00E70C40" w:rsidRDefault="00E70C40" w:rsidP="00E70C4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E70C40">
        <w:rPr>
          <w:rFonts w:ascii="Arial" w:hAnsi="Arial" w:cs="Arial"/>
          <w:sz w:val="22"/>
          <w:szCs w:val="22"/>
        </w:rPr>
        <w:t xml:space="preserve">Zdrojem financování SGP EXPRO budou výdaje státního rozpočtu na výzkum, vývoj a inovace dle zákona č. 130/2002 Sb. </w:t>
      </w:r>
    </w:p>
    <w:p w14:paraId="15F0652A" w14:textId="35C59AFD" w:rsidR="00E70C40" w:rsidRPr="00E70C40" w:rsidRDefault="00E70C40" w:rsidP="00E70C4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E70C40">
        <w:rPr>
          <w:rFonts w:ascii="Arial" w:hAnsi="Arial" w:cs="Arial"/>
          <w:color w:val="000000"/>
          <w:sz w:val="22"/>
          <w:szCs w:val="22"/>
        </w:rPr>
        <w:t>Výdaje na SG</w:t>
      </w:r>
      <w:r w:rsidR="00A751D5">
        <w:rPr>
          <w:rFonts w:ascii="Arial" w:hAnsi="Arial" w:cs="Arial"/>
          <w:color w:val="000000"/>
          <w:sz w:val="22"/>
          <w:szCs w:val="22"/>
        </w:rPr>
        <w:t>P</w:t>
      </w:r>
      <w:r w:rsidRPr="00E70C40">
        <w:rPr>
          <w:rFonts w:ascii="Arial" w:hAnsi="Arial" w:cs="Arial"/>
          <w:color w:val="000000"/>
          <w:sz w:val="22"/>
          <w:szCs w:val="22"/>
        </w:rPr>
        <w:t xml:space="preserve"> EXPRO se předpokládají v roce 2027 výši 600 mil. Kč, v roce 2028 ve výši 400 mil. Kč, v roce 2029 ve výši 600 mil. Kč, v roce 2030 ve výši 400 mil. Kč, v roce 2031 ve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E70C40">
        <w:rPr>
          <w:rFonts w:ascii="Arial" w:hAnsi="Arial" w:cs="Arial"/>
          <w:color w:val="000000"/>
          <w:sz w:val="22"/>
          <w:szCs w:val="22"/>
        </w:rPr>
        <w:t xml:space="preserve">výši 600 mil. Kč a následně opět v letech 2032 a 2033 ve výši 400 mil. Kč ročně a v letech 2034 a 2035 ve výši 200 mil. ročně. </w:t>
      </w:r>
      <w:r w:rsidRPr="00E70C40">
        <w:rPr>
          <w:rFonts w:ascii="Segoe UI" w:hAnsi="Segoe UI" w:cs="Segoe UI"/>
          <w:sz w:val="18"/>
          <w:szCs w:val="18"/>
        </w:rPr>
        <w:t xml:space="preserve"> </w:t>
      </w:r>
    </w:p>
    <w:p w14:paraId="4265A8C4" w14:textId="6D9F96FE" w:rsidR="00E70C40" w:rsidRPr="00E70C40" w:rsidRDefault="00E70C40" w:rsidP="00E70C4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E70C40">
        <w:rPr>
          <w:rFonts w:ascii="Arial" w:hAnsi="Arial" w:cs="Arial"/>
          <w:color w:val="000000"/>
          <w:sz w:val="22"/>
          <w:szCs w:val="22"/>
        </w:rPr>
        <w:t>Celkové účelové prostředky vynaložené na SGP EXPRO v tomto období se přepokládají ve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E70C40">
        <w:rPr>
          <w:rFonts w:ascii="Arial" w:hAnsi="Arial" w:cs="Arial"/>
          <w:color w:val="000000"/>
          <w:sz w:val="22"/>
          <w:szCs w:val="22"/>
        </w:rPr>
        <w:t>výši 3,8 mld. Kč, z nichž na tři nové soutěže ve výši 3 mld. Kč a na pokračující soutěže 800 mil. Kč.</w:t>
      </w:r>
    </w:p>
    <w:p w14:paraId="2929664E" w14:textId="4FAE06DF" w:rsidR="00E70C40" w:rsidRDefault="00E70C40" w:rsidP="00673D8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E70C40">
        <w:rPr>
          <w:rFonts w:ascii="Arial" w:hAnsi="Arial" w:cs="Arial"/>
          <w:color w:val="000000"/>
          <w:sz w:val="22"/>
          <w:szCs w:val="22"/>
        </w:rPr>
        <w:t>Předpokládanou průměrnou výši celkových výdajů v jednotlivých letech přehledně znázorňuje následující tabulka (v mil. Kč). Podíl výdajů státního rozpočtu na celkových výdajích je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E70C40">
        <w:rPr>
          <w:rFonts w:ascii="Arial" w:hAnsi="Arial" w:cs="Arial"/>
          <w:color w:val="000000"/>
          <w:sz w:val="22"/>
          <w:szCs w:val="22"/>
        </w:rPr>
        <w:t>u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E70C40">
        <w:rPr>
          <w:rFonts w:ascii="Arial" w:hAnsi="Arial" w:cs="Arial"/>
          <w:color w:val="000000"/>
          <w:sz w:val="22"/>
          <w:szCs w:val="22"/>
        </w:rPr>
        <w:t>projektů základního výzkumu v souladu se Zákonem</w:t>
      </w:r>
      <w:r w:rsidR="00D0565F">
        <w:rPr>
          <w:rFonts w:ascii="Arial" w:hAnsi="Arial" w:cs="Arial"/>
          <w:sz w:val="22"/>
          <w:szCs w:val="22"/>
        </w:rPr>
        <w:t xml:space="preserve"> </w:t>
      </w:r>
      <w:r w:rsidR="00D0565F" w:rsidRPr="00305FD8">
        <w:rPr>
          <w:rFonts w:ascii="Arial" w:hAnsi="Arial" w:cs="Arial"/>
          <w:sz w:val="22"/>
          <w:szCs w:val="22"/>
        </w:rPr>
        <w:t>č. 130/2002 Sb.</w:t>
      </w:r>
      <w:r w:rsidRPr="00E70C40">
        <w:rPr>
          <w:rFonts w:ascii="Arial" w:hAnsi="Arial" w:cs="Arial"/>
          <w:color w:val="000000"/>
          <w:sz w:val="22"/>
          <w:szCs w:val="22"/>
        </w:rPr>
        <w:t xml:space="preserve"> a Rámcem až</w:t>
      </w:r>
      <w:r w:rsidR="00304BFA">
        <w:rPr>
          <w:rFonts w:ascii="Arial" w:hAnsi="Arial" w:cs="Arial"/>
          <w:color w:val="000000"/>
          <w:sz w:val="22"/>
          <w:szCs w:val="22"/>
        </w:rPr>
        <w:t> </w:t>
      </w:r>
      <w:r w:rsidRPr="00E70C40">
        <w:rPr>
          <w:rFonts w:ascii="Arial" w:hAnsi="Arial" w:cs="Arial"/>
          <w:color w:val="000000"/>
          <w:sz w:val="22"/>
          <w:szCs w:val="22"/>
        </w:rPr>
        <w:t>100</w:t>
      </w:r>
      <w:r w:rsidR="00304BFA">
        <w:rPr>
          <w:rFonts w:ascii="Arial" w:hAnsi="Arial" w:cs="Arial"/>
          <w:color w:val="000000"/>
          <w:sz w:val="22"/>
          <w:szCs w:val="22"/>
        </w:rPr>
        <w:t> </w:t>
      </w:r>
      <w:r w:rsidRPr="00E70C40">
        <w:rPr>
          <w:rFonts w:ascii="Arial" w:hAnsi="Arial" w:cs="Arial"/>
          <w:color w:val="000000"/>
          <w:sz w:val="22"/>
          <w:szCs w:val="22"/>
        </w:rPr>
        <w:t xml:space="preserve">%. Navržené výdaje státního rozpočtu musí být zabezpečeny v souladu s limity celkových výdajů na podporu výzkumu, experimentálního vývoje a inovací schválených vládou </w:t>
      </w:r>
      <w:r w:rsidRPr="00E70C40">
        <w:rPr>
          <w:rFonts w:ascii="Arial" w:hAnsi="Arial" w:cs="Arial"/>
          <w:color w:val="000000"/>
          <w:sz w:val="22"/>
          <w:szCs w:val="22"/>
        </w:rPr>
        <w:lastRenderedPageBreak/>
        <w:t>na</w:t>
      </w:r>
      <w:r w:rsidR="00304BFA">
        <w:rPr>
          <w:rFonts w:ascii="Arial" w:hAnsi="Arial" w:cs="Arial"/>
          <w:color w:val="000000"/>
          <w:sz w:val="22"/>
          <w:szCs w:val="22"/>
        </w:rPr>
        <w:t> </w:t>
      </w:r>
      <w:r w:rsidRPr="00E70C40">
        <w:rPr>
          <w:rFonts w:ascii="Arial" w:hAnsi="Arial" w:cs="Arial"/>
          <w:color w:val="000000"/>
          <w:sz w:val="22"/>
          <w:szCs w:val="22"/>
        </w:rPr>
        <w:t xml:space="preserve">příslušná období bez zvýšených nároků na státní rozpočet. Prostředky na tuto </w:t>
      </w:r>
      <w:r w:rsidR="00D0565F">
        <w:rPr>
          <w:rFonts w:ascii="Arial" w:hAnsi="Arial" w:cs="Arial"/>
          <w:color w:val="000000"/>
          <w:sz w:val="22"/>
          <w:szCs w:val="22"/>
        </w:rPr>
        <w:t xml:space="preserve">SGP </w:t>
      </w:r>
      <w:r w:rsidRPr="00E70C40">
        <w:rPr>
          <w:rFonts w:ascii="Arial" w:hAnsi="Arial" w:cs="Arial"/>
          <w:color w:val="000000"/>
          <w:sz w:val="22"/>
          <w:szCs w:val="22"/>
        </w:rPr>
        <w:t>budou poskytovány ve schválené výši.</w:t>
      </w:r>
    </w:p>
    <w:tbl>
      <w:tblPr>
        <w:tblW w:w="894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3"/>
        <w:gridCol w:w="686"/>
        <w:gridCol w:w="686"/>
        <w:gridCol w:w="687"/>
        <w:gridCol w:w="687"/>
        <w:gridCol w:w="687"/>
        <w:gridCol w:w="907"/>
        <w:gridCol w:w="907"/>
        <w:gridCol w:w="907"/>
        <w:gridCol w:w="918"/>
      </w:tblGrid>
      <w:tr w:rsidR="00E70C40" w14:paraId="133D488A" w14:textId="77777777" w:rsidTr="00D342C3">
        <w:trPr>
          <w:trHeight w:val="429"/>
        </w:trPr>
        <w:tc>
          <w:tcPr>
            <w:tcW w:w="894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344697E0" w14:textId="77777777" w:rsidR="00E70C40" w:rsidRPr="00753B84" w:rsidRDefault="00E70C40" w:rsidP="00D342C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Předpokládané roční výdaje projektů EXPRO v mil. Kč</w:t>
            </w:r>
          </w:p>
        </w:tc>
      </w:tr>
      <w:tr w:rsidR="00E70C40" w14:paraId="43ABF46A" w14:textId="77777777" w:rsidTr="00D342C3">
        <w:trPr>
          <w:trHeight w:val="42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499A5" w14:textId="77777777" w:rsidR="00E70C40" w:rsidRPr="00753B84" w:rsidRDefault="00E70C40" w:rsidP="00D342C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Roky zahájení řešení projektů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71BA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D48F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4D71D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D53F8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B222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A93A0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E506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F026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C8089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2035</w:t>
            </w:r>
          </w:p>
        </w:tc>
      </w:tr>
      <w:tr w:rsidR="00E70C40" w14:paraId="54D63DD7" w14:textId="77777777" w:rsidTr="00D342C3">
        <w:trPr>
          <w:trHeight w:val="42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C6EE2" w14:textId="77777777" w:rsidR="00E70C40" w:rsidRPr="00753B84" w:rsidRDefault="00E70C40" w:rsidP="00D342C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EXPRO 2023 (pokračující soutěž)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6AEE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1268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06CAD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5FC18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4F6FE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432AF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93732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747E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B22D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E70C40" w14:paraId="3A0064DF" w14:textId="77777777" w:rsidTr="00D342C3">
        <w:trPr>
          <w:trHeight w:val="42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F449C" w14:textId="77777777" w:rsidR="00E70C40" w:rsidRPr="00753B84" w:rsidRDefault="00E70C40" w:rsidP="00D342C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EXPRO 2025 (pokračující soutěž)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7F6E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7DAC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0DCA1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D12B0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2A9B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527F9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B3D2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67FEC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670C1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70C40" w14:paraId="5786B92B" w14:textId="77777777" w:rsidTr="00D342C3">
        <w:trPr>
          <w:trHeight w:val="42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A80CD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EXPRO 2027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BFE61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ABB23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9F6C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CC13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DA9D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23F3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228F9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AB080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1E263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E70C40" w14:paraId="0BFB0A89" w14:textId="77777777" w:rsidTr="00D342C3">
        <w:trPr>
          <w:trHeight w:val="42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A9237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841E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48F9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62DF7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E0B90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E5AF1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3D94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30083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7704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AAFE7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E70C40" w14:paraId="5C2EF370" w14:textId="77777777" w:rsidTr="00D342C3">
        <w:trPr>
          <w:trHeight w:val="42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FE68A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EXPRO 2029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BFB8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D10C9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99EF9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499E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074B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AE68D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B870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85FF9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6CF6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E70C40" w14:paraId="34E2A9F7" w14:textId="77777777" w:rsidTr="00D342C3">
        <w:trPr>
          <w:trHeight w:val="42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DEDCD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88A58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026A3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71ECC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53AF2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330A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E4F3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27F3F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8748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BDE78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E70C40" w14:paraId="4F0A4503" w14:textId="77777777" w:rsidTr="00D342C3">
        <w:trPr>
          <w:trHeight w:val="42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F32AF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EXPRO 2031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84821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3EAD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4ED3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CDF73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5066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3B67F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D037F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C056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88B0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</w:tr>
      <w:tr w:rsidR="00E70C40" w14:paraId="5F6A6774" w14:textId="77777777" w:rsidTr="00D342C3">
        <w:trPr>
          <w:trHeight w:val="429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66A24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2D00E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46EEC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0124D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AE12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C4C17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FEDA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D6E6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0F827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CB361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</w:tr>
    </w:tbl>
    <w:p w14:paraId="100FB778" w14:textId="77777777" w:rsidR="00E70C40" w:rsidRDefault="00E70C40" w:rsidP="00E70C4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5FE2067" w14:textId="0CD45D76" w:rsidR="00E70C40" w:rsidRDefault="00E70C40" w:rsidP="00E70C4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Poskytovatel považuje c</w:t>
      </w:r>
      <w:r w:rsidRPr="00D33F36">
        <w:rPr>
          <w:rFonts w:ascii="Arial" w:hAnsi="Arial" w:cs="Arial"/>
          <w:color w:val="000000"/>
          <w:sz w:val="22"/>
          <w:szCs w:val="22"/>
        </w:rPr>
        <w:t>elkové výdaje na tuto</w:t>
      </w:r>
      <w:r>
        <w:rPr>
          <w:rFonts w:ascii="Arial" w:hAnsi="Arial" w:cs="Arial"/>
          <w:color w:val="000000"/>
          <w:sz w:val="22"/>
          <w:szCs w:val="22"/>
        </w:rPr>
        <w:t xml:space="preserve"> SGP jako</w:t>
      </w:r>
      <w:r w:rsidRPr="00D33F36">
        <w:rPr>
          <w:rFonts w:ascii="Arial" w:hAnsi="Arial" w:cs="Arial"/>
          <w:color w:val="000000"/>
          <w:sz w:val="22"/>
          <w:szCs w:val="22"/>
        </w:rPr>
        <w:t xml:space="preserve"> přiměřené vzhledem k nutnos</w:t>
      </w:r>
      <w:r>
        <w:rPr>
          <w:rFonts w:ascii="Arial" w:hAnsi="Arial" w:cs="Arial"/>
          <w:color w:val="000000"/>
          <w:sz w:val="22"/>
          <w:szCs w:val="22"/>
        </w:rPr>
        <w:t>ti státního zásahu vyplývající</w:t>
      </w:r>
      <w:r w:rsidRPr="00D33F36">
        <w:rPr>
          <w:rFonts w:ascii="Arial" w:hAnsi="Arial" w:cs="Arial"/>
          <w:color w:val="000000"/>
          <w:sz w:val="22"/>
          <w:szCs w:val="22"/>
        </w:rPr>
        <w:t xml:space="preserve"> z motivačního účinku (</w:t>
      </w:r>
      <w:r>
        <w:rPr>
          <w:rFonts w:ascii="Arial" w:hAnsi="Arial" w:cs="Arial"/>
          <w:color w:val="000000"/>
          <w:sz w:val="22"/>
          <w:szCs w:val="22"/>
        </w:rPr>
        <w:t xml:space="preserve">viz článek </w:t>
      </w:r>
      <w:r w:rsidRPr="00D33F36">
        <w:rPr>
          <w:rFonts w:ascii="Arial" w:hAnsi="Arial" w:cs="Arial"/>
          <w:color w:val="000000"/>
          <w:sz w:val="22"/>
          <w:szCs w:val="22"/>
        </w:rPr>
        <w:t>14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706594">
        <w:rPr>
          <w:rFonts w:ascii="Arial" w:hAnsi="Arial" w:cs="Arial"/>
          <w:color w:val="000000"/>
          <w:sz w:val="22"/>
          <w:szCs w:val="22"/>
        </w:rPr>
        <w:t>[</w:t>
      </w:r>
      <w:r>
        <w:rPr>
          <w:rFonts w:ascii="Arial" w:hAnsi="Arial" w:cs="Arial"/>
          <w:color w:val="000000"/>
          <w:sz w:val="22"/>
          <w:szCs w:val="22"/>
        </w:rPr>
        <w:t>III. materiálu</w:t>
      </w:r>
      <w:r w:rsidR="00706594">
        <w:rPr>
          <w:rFonts w:ascii="Arial" w:hAnsi="Arial" w:cs="Arial"/>
          <w:color w:val="000000"/>
          <w:sz w:val="22"/>
          <w:szCs w:val="22"/>
        </w:rPr>
        <w:t>])</w:t>
      </w:r>
      <w:r>
        <w:rPr>
          <w:rFonts w:ascii="Arial" w:hAnsi="Arial" w:cs="Arial"/>
          <w:color w:val="000000"/>
          <w:sz w:val="22"/>
          <w:szCs w:val="22"/>
        </w:rPr>
        <w:t xml:space="preserve"> a</w:t>
      </w:r>
      <w:r w:rsidRPr="00D33F36">
        <w:rPr>
          <w:rFonts w:ascii="Arial" w:hAnsi="Arial" w:cs="Arial"/>
          <w:color w:val="000000"/>
          <w:sz w:val="22"/>
          <w:szCs w:val="22"/>
        </w:rPr>
        <w:t xml:space="preserve"> zaměření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D33F36">
        <w:rPr>
          <w:rFonts w:ascii="Arial" w:hAnsi="Arial" w:cs="Arial"/>
          <w:color w:val="000000"/>
          <w:sz w:val="22"/>
          <w:szCs w:val="22"/>
        </w:rPr>
        <w:t>cílů této skup</w:t>
      </w:r>
      <w:r>
        <w:rPr>
          <w:rFonts w:ascii="Arial" w:hAnsi="Arial" w:cs="Arial"/>
          <w:color w:val="000000"/>
          <w:sz w:val="22"/>
          <w:szCs w:val="22"/>
        </w:rPr>
        <w:t>iny grantových projektů (viz</w:t>
      </w:r>
      <w:r w:rsidRPr="00D33F36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článek</w:t>
      </w:r>
      <w:r w:rsidRPr="00D33F36">
        <w:rPr>
          <w:rFonts w:ascii="Arial" w:hAnsi="Arial" w:cs="Arial"/>
          <w:color w:val="000000"/>
          <w:sz w:val="22"/>
          <w:szCs w:val="22"/>
        </w:rPr>
        <w:t xml:space="preserve"> 12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706594">
        <w:rPr>
          <w:rFonts w:ascii="Arial" w:hAnsi="Arial" w:cs="Arial"/>
          <w:color w:val="000000"/>
          <w:sz w:val="22"/>
          <w:szCs w:val="22"/>
        </w:rPr>
        <w:t>[</w:t>
      </w:r>
      <w:r>
        <w:rPr>
          <w:rFonts w:ascii="Arial" w:hAnsi="Arial" w:cs="Arial"/>
          <w:color w:val="000000"/>
          <w:sz w:val="22"/>
          <w:szCs w:val="22"/>
        </w:rPr>
        <w:t>III. materiálu</w:t>
      </w:r>
      <w:r w:rsidR="00706594">
        <w:rPr>
          <w:rFonts w:ascii="Arial" w:hAnsi="Arial" w:cs="Arial"/>
          <w:color w:val="000000"/>
          <w:sz w:val="22"/>
          <w:szCs w:val="22"/>
        </w:rPr>
        <w:t>]</w:t>
      </w:r>
      <w:r w:rsidRPr="00D33F36">
        <w:rPr>
          <w:rFonts w:ascii="Arial" w:hAnsi="Arial" w:cs="Arial"/>
          <w:color w:val="000000"/>
          <w:sz w:val="22"/>
          <w:szCs w:val="22"/>
        </w:rPr>
        <w:t>).</w:t>
      </w:r>
    </w:p>
    <w:p w14:paraId="412DF6E5" w14:textId="77777777" w:rsidR="00E70C40" w:rsidRPr="00D33F36" w:rsidRDefault="00E70C40" w:rsidP="00E70C40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229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680"/>
        <w:gridCol w:w="680"/>
        <w:gridCol w:w="680"/>
        <w:gridCol w:w="680"/>
        <w:gridCol w:w="680"/>
        <w:gridCol w:w="680"/>
        <w:gridCol w:w="680"/>
        <w:gridCol w:w="680"/>
        <w:gridCol w:w="655"/>
        <w:gridCol w:w="25"/>
      </w:tblGrid>
      <w:tr w:rsidR="00E70C40" w:rsidRPr="00753B84" w14:paraId="2063B3CC" w14:textId="77777777" w:rsidTr="00D342C3">
        <w:trPr>
          <w:gridAfter w:val="1"/>
          <w:wAfter w:w="25" w:type="dxa"/>
          <w:trHeight w:val="680"/>
        </w:trPr>
        <w:tc>
          <w:tcPr>
            <w:tcW w:w="92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B65831D" w14:textId="77777777" w:rsidR="00E70C40" w:rsidRPr="00753B84" w:rsidRDefault="00E70C40" w:rsidP="00D342C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Předpokládaná absorpční kapacita v letech 2027–2035 pro nové tři soutěže</w:t>
            </w:r>
          </w:p>
        </w:tc>
      </w:tr>
      <w:tr w:rsidR="00E70C40" w:rsidRPr="00753B84" w14:paraId="2B606A39" w14:textId="77777777" w:rsidTr="00D342C3">
        <w:trPr>
          <w:trHeight w:val="454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55ECB" w14:textId="77777777" w:rsidR="00E70C40" w:rsidRPr="00753B84" w:rsidRDefault="00E70C40" w:rsidP="00D342C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Roky zahájení řešení projektů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268BC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8F01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F0BCE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49DD2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7862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1C880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5C3E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9098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F31A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2035</w:t>
            </w:r>
          </w:p>
        </w:tc>
      </w:tr>
      <w:tr w:rsidR="00E70C40" w:rsidRPr="00753B84" w14:paraId="0B5E2C76" w14:textId="77777777" w:rsidTr="00D342C3">
        <w:trPr>
          <w:trHeight w:val="454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7DA1C" w14:textId="77777777" w:rsidR="00E70C40" w:rsidRPr="00753B84" w:rsidRDefault="00E70C40" w:rsidP="00D342C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Průměrné náklady na 1 projekt v mil.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72FFF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942F2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A1AC0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1139E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A3C0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E027C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2010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E22F0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F474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E70C40" w:rsidRPr="00753B84" w14:paraId="192D0252" w14:textId="77777777" w:rsidTr="00D342C3">
        <w:trPr>
          <w:trHeight w:val="454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C713A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Počet nově financovaných </w:t>
            </w:r>
          </w:p>
          <w:p w14:paraId="41F0870D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projektů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9D46A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6C66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6BD87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1C8E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4E5C3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F4B40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68ED2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1ED7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F397C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70C40" w:rsidRPr="00753B84" w14:paraId="73E02721" w14:textId="77777777" w:rsidTr="00D342C3">
        <w:trPr>
          <w:trHeight w:val="454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EC712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pokračujících projektů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80217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4EC46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8EA9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C35F7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F047E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C45B7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B65B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99DA2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11144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E70C40" w:rsidRPr="00753B84" w14:paraId="7348DFF4" w14:textId="77777777" w:rsidTr="00D342C3">
        <w:trPr>
          <w:trHeight w:val="454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1D7D" w14:textId="77777777" w:rsidR="00E70C40" w:rsidRPr="00753B84" w:rsidRDefault="00E70C40" w:rsidP="00D342C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projektů celkem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A3208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E2CDB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BA020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AF24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D2AA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9ACCC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6D211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5CCB5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B49BE" w14:textId="77777777" w:rsidR="00E70C40" w:rsidRPr="00753B84" w:rsidRDefault="00E70C40" w:rsidP="00D342C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3B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</w:tbl>
    <w:p w14:paraId="41707E8B" w14:textId="290EA296" w:rsidR="00E70C40" w:rsidRPr="00F17B3B" w:rsidRDefault="00E70C40" w:rsidP="00F17B3B">
      <w:pPr>
        <w:pStyle w:val="Odstavecseseznamem"/>
        <w:numPr>
          <w:ilvl w:val="0"/>
          <w:numId w:val="26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F17B3B">
        <w:rPr>
          <w:rFonts w:ascii="Arial" w:hAnsi="Arial" w:cs="Arial"/>
          <w:b/>
          <w:color w:val="0070C0"/>
          <w:sz w:val="22"/>
          <w:szCs w:val="22"/>
        </w:rPr>
        <w:t>K materiálu předkládanému na jednání vlády</w:t>
      </w:r>
    </w:p>
    <w:p w14:paraId="1DD4FFDE" w14:textId="504CDD38" w:rsidR="00064087" w:rsidRPr="00064087" w:rsidRDefault="00064087" w:rsidP="00064087">
      <w:pPr>
        <w:spacing w:before="240"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305FD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Předložený návrh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změny </w:t>
      </w:r>
      <w:r w:rsidR="00706594">
        <w:rPr>
          <w:rFonts w:ascii="Arial" w:eastAsiaTheme="minorHAnsi" w:hAnsi="Arial" w:cs="Arial"/>
          <w:bCs/>
          <w:sz w:val="22"/>
          <w:szCs w:val="22"/>
          <w:lang w:eastAsia="en-US"/>
        </w:rPr>
        <w:t>SGP EXPRO</w:t>
      </w:r>
      <w:r w:rsidRPr="00305FD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obsahuje všechny náležitosti, které musí být podle Jednacího řádu součástí materiálu předkládaného na jednání vlády.</w:t>
      </w:r>
    </w:p>
    <w:p w14:paraId="0FDFE6CE" w14:textId="20DC106B" w:rsidR="00E70C40" w:rsidRDefault="00064087" w:rsidP="00923D06">
      <w:pPr>
        <w:pStyle w:val="Odstavecseseznamem"/>
        <w:numPr>
          <w:ilvl w:val="0"/>
          <w:numId w:val="26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305FD8">
        <w:rPr>
          <w:rFonts w:ascii="Arial" w:hAnsi="Arial" w:cs="Arial"/>
          <w:b/>
          <w:color w:val="0070C0"/>
          <w:sz w:val="22"/>
          <w:szCs w:val="22"/>
        </w:rPr>
        <w:t>Vyjádření Komise pro hodnocení výsledků a ukončených programů</w:t>
      </w:r>
    </w:p>
    <w:p w14:paraId="11C937A9" w14:textId="6F69192C" w:rsidR="000E1830" w:rsidRDefault="00064087" w:rsidP="00687C67">
      <w:pPr>
        <w:spacing w:before="240"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305FD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Komise pro hodnocení výsledků a ukončených programů (dále jen „KHV“) projednala předložený návrh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změny dne </w:t>
      </w:r>
      <w:r w:rsidR="00687C67">
        <w:rPr>
          <w:rFonts w:ascii="Arial" w:eastAsiaTheme="minorHAnsi" w:hAnsi="Arial" w:cs="Arial"/>
          <w:bCs/>
          <w:sz w:val="22"/>
          <w:szCs w:val="22"/>
          <w:lang w:eastAsia="en-US"/>
        </w:rPr>
        <w:t>9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. června 2025</w:t>
      </w:r>
      <w:r w:rsidR="000E1830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s těmito závěry a připomínkami:</w:t>
      </w:r>
    </w:p>
    <w:p w14:paraId="0D35CBE4" w14:textId="16641EE5" w:rsidR="000E1830" w:rsidRDefault="000E1830" w:rsidP="000E183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dle předkládací zprávy nepožaduje žádné změny z hlediska obsahu programu (cíle, intervenční logika, </w:t>
      </w:r>
      <w:r w:rsidRPr="00BA3DFA">
        <w:rPr>
          <w:rFonts w:ascii="Arial" w:eastAsiaTheme="minorHAnsi" w:hAnsi="Arial" w:cs="Arial"/>
          <w:bCs/>
          <w:sz w:val="22"/>
          <w:szCs w:val="22"/>
          <w:lang w:eastAsia="en-US"/>
        </w:rPr>
        <w:t>uchazeči, způsobilé náklady, způsob hodnocení a výběru projektů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),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lastRenderedPageBreak/>
        <w:t>žádá pouze o prodloužení doby trvání programu do roku 2035 (původně do roku 2030) a s tím související navýšení celkových nákladů programu. Žádost je doplněna Průběžnou zprávou, která</w:t>
      </w:r>
      <w:r w:rsidRPr="00F45AD5">
        <w:rPr>
          <w:rFonts w:ascii="Arial" w:hAnsi="Arial" w:cs="Arial"/>
          <w:sz w:val="22"/>
          <w:szCs w:val="22"/>
        </w:rPr>
        <w:t xml:space="preserve"> je kvalitně a velmi podrobně zpracována a poskytuje bohatý soubor informací o</w:t>
      </w:r>
      <w:r>
        <w:rPr>
          <w:rFonts w:ascii="Arial" w:hAnsi="Arial" w:cs="Arial"/>
          <w:sz w:val="22"/>
          <w:szCs w:val="22"/>
        </w:rPr>
        <w:t> </w:t>
      </w:r>
      <w:r w:rsidRPr="00F45AD5">
        <w:rPr>
          <w:rFonts w:ascii="Arial" w:hAnsi="Arial" w:cs="Arial"/>
          <w:sz w:val="22"/>
          <w:szCs w:val="22"/>
        </w:rPr>
        <w:t xml:space="preserve">dosavadním průběhu </w:t>
      </w:r>
      <w:r>
        <w:rPr>
          <w:rFonts w:ascii="Arial" w:hAnsi="Arial" w:cs="Arial"/>
          <w:sz w:val="22"/>
          <w:szCs w:val="22"/>
        </w:rPr>
        <w:t>programu</w:t>
      </w:r>
      <w:r w:rsidRPr="00F45AD5">
        <w:rPr>
          <w:rFonts w:ascii="Arial" w:hAnsi="Arial" w:cs="Arial"/>
          <w:sz w:val="22"/>
          <w:szCs w:val="22"/>
        </w:rPr>
        <w:t>, včetně množství statistik o výběru a průběhu projektů a</w:t>
      </w:r>
      <w:r>
        <w:rPr>
          <w:rFonts w:ascii="Arial" w:hAnsi="Arial" w:cs="Arial"/>
          <w:sz w:val="22"/>
          <w:szCs w:val="22"/>
        </w:rPr>
        <w:t> </w:t>
      </w:r>
      <w:r w:rsidRPr="00F45AD5">
        <w:rPr>
          <w:rFonts w:ascii="Arial" w:hAnsi="Arial" w:cs="Arial"/>
          <w:sz w:val="22"/>
          <w:szCs w:val="22"/>
        </w:rPr>
        <w:t xml:space="preserve">jejich výsledcích. Zvláště lze ocenit zahrnutí analýzy porovnávající řešitele a neúspěšné žadatele. Porovnání řešitelů a </w:t>
      </w:r>
      <w:r>
        <w:rPr>
          <w:rFonts w:ascii="Arial" w:hAnsi="Arial" w:cs="Arial"/>
          <w:sz w:val="22"/>
          <w:szCs w:val="22"/>
        </w:rPr>
        <w:t>neúspěšných žadatelů</w:t>
      </w:r>
      <w:r w:rsidRPr="00F45AD5">
        <w:rPr>
          <w:rFonts w:ascii="Arial" w:hAnsi="Arial" w:cs="Arial"/>
          <w:sz w:val="22"/>
          <w:szCs w:val="22"/>
        </w:rPr>
        <w:t xml:space="preserve"> před začátkem projektů užitečně dokumentuje kvalitu výběru projektů. Porovnání řešitelů a </w:t>
      </w:r>
      <w:r>
        <w:rPr>
          <w:rFonts w:ascii="Arial" w:hAnsi="Arial" w:cs="Arial"/>
          <w:sz w:val="22"/>
          <w:szCs w:val="22"/>
        </w:rPr>
        <w:t>neúspěšných žadatelů</w:t>
      </w:r>
      <w:r w:rsidRPr="00F45AD5">
        <w:rPr>
          <w:rFonts w:ascii="Arial" w:hAnsi="Arial" w:cs="Arial"/>
          <w:sz w:val="22"/>
          <w:szCs w:val="22"/>
        </w:rPr>
        <w:t xml:space="preserve"> před a</w:t>
      </w:r>
      <w:r w:rsidR="00304BFA">
        <w:rPr>
          <w:rFonts w:ascii="Arial" w:hAnsi="Arial" w:cs="Arial"/>
          <w:sz w:val="22"/>
          <w:szCs w:val="22"/>
        </w:rPr>
        <w:t> </w:t>
      </w:r>
      <w:r w:rsidRPr="00F45AD5">
        <w:rPr>
          <w:rFonts w:ascii="Arial" w:hAnsi="Arial" w:cs="Arial"/>
          <w:sz w:val="22"/>
          <w:szCs w:val="22"/>
        </w:rPr>
        <w:t>po</w:t>
      </w:r>
      <w:r w:rsidR="00304BFA">
        <w:rPr>
          <w:rFonts w:ascii="Arial" w:hAnsi="Arial" w:cs="Arial"/>
          <w:sz w:val="22"/>
          <w:szCs w:val="22"/>
        </w:rPr>
        <w:t> </w:t>
      </w:r>
      <w:r w:rsidRPr="00F45AD5">
        <w:rPr>
          <w:rFonts w:ascii="Arial" w:hAnsi="Arial" w:cs="Arial"/>
          <w:sz w:val="22"/>
          <w:szCs w:val="22"/>
        </w:rPr>
        <w:t>projektech bude mít po zahrnutí většího počtu dokončených výzev (například v závěrečné zprávě) potenciál poskytnout cenné informace o dopadu SGP.</w:t>
      </w:r>
    </w:p>
    <w:p w14:paraId="63DB9C67" w14:textId="6A30F6BC" w:rsidR="000E1830" w:rsidRDefault="000E1830" w:rsidP="000E183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KHV doporučuje, aby v následných průběžných/závěrečných zprávách byla excelence projektů (str. 8 Průběžné zprávy) vyhodnocována i na základě jiných než ryze </w:t>
      </w:r>
      <w:proofErr w:type="spellStart"/>
      <w:r>
        <w:rPr>
          <w:rFonts w:ascii="Arial" w:hAnsi="Arial" w:cs="Arial"/>
          <w:sz w:val="22"/>
          <w:szCs w:val="22"/>
        </w:rPr>
        <w:t>bibliometrických</w:t>
      </w:r>
      <w:proofErr w:type="spellEnd"/>
      <w:r>
        <w:rPr>
          <w:rFonts w:ascii="Arial" w:hAnsi="Arial" w:cs="Arial"/>
          <w:sz w:val="22"/>
          <w:szCs w:val="22"/>
        </w:rPr>
        <w:t xml:space="preserve"> parametrů. Tyto parametry </w:t>
      </w:r>
      <w:r w:rsidR="0087725E">
        <w:rPr>
          <w:rFonts w:ascii="Arial" w:hAnsi="Arial" w:cs="Arial"/>
          <w:sz w:val="22"/>
          <w:szCs w:val="22"/>
        </w:rPr>
        <w:t xml:space="preserve">jsou </w:t>
      </w:r>
      <w:r>
        <w:rPr>
          <w:rFonts w:ascii="Arial" w:hAnsi="Arial" w:cs="Arial"/>
          <w:sz w:val="22"/>
          <w:szCs w:val="22"/>
        </w:rPr>
        <w:t>zejména v některých oborech (EX6, EX7 a EX8) irelevantní a o skutečné kvalitě výsledků projektu podávají spíše zkreslenou informaci.</w:t>
      </w:r>
    </w:p>
    <w:p w14:paraId="7B0C0C8E" w14:textId="78365F26" w:rsidR="000E1830" w:rsidRDefault="000E1830" w:rsidP="000E183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podrobné analýze dostupných dat uvedených v Průběžné zprávě je zarážející, že poskytovatel v předkládací zprávě jako jediný důvod prodloužení SGP uvádí zlepšení statistiky pro vyhodnocení SGP (</w:t>
      </w:r>
      <w:r w:rsidRPr="00DB5B62">
        <w:rPr>
          <w:rFonts w:ascii="Arial" w:hAnsi="Arial" w:cs="Arial"/>
          <w:i/>
          <w:iCs/>
          <w:sz w:val="22"/>
          <w:szCs w:val="22"/>
        </w:rPr>
        <w:t>„Aby bylo možné přínos skupiny grantových projektů řádně vyhodnotit, navrhuje se prodloužit skupinu grantových projektů Grantové projekty excelence v</w:t>
      </w:r>
      <w:r>
        <w:rPr>
          <w:rFonts w:ascii="Arial" w:hAnsi="Arial" w:cs="Arial"/>
          <w:i/>
          <w:iCs/>
          <w:sz w:val="22"/>
          <w:szCs w:val="22"/>
        </w:rPr>
        <w:t> </w:t>
      </w:r>
      <w:r w:rsidRPr="00DB5B62">
        <w:rPr>
          <w:rFonts w:ascii="Arial" w:hAnsi="Arial" w:cs="Arial"/>
          <w:i/>
          <w:iCs/>
          <w:sz w:val="22"/>
          <w:szCs w:val="22"/>
        </w:rPr>
        <w:t>základním výzkumu EXPRO do roku 2035“</w:t>
      </w:r>
      <w:r>
        <w:rPr>
          <w:rFonts w:ascii="Arial" w:hAnsi="Arial" w:cs="Arial"/>
          <w:sz w:val="22"/>
          <w:szCs w:val="22"/>
        </w:rPr>
        <w:t>). Prodloužení SGP bezesporu povede k lepší datové základně pro vyhodnocení SGP, ale i dílčí data uvedená v Průběžné zprávě už by měla poskytnout i argumenty vzhledem k očekávaným dopadům této SGP.</w:t>
      </w:r>
    </w:p>
    <w:p w14:paraId="0D944C0A" w14:textId="3C9018F0" w:rsidR="000E1830" w:rsidRPr="000E1830" w:rsidRDefault="000E1830" w:rsidP="000E183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E3CFC">
        <w:rPr>
          <w:rFonts w:ascii="Arial" w:hAnsi="Arial" w:cs="Arial"/>
          <w:sz w:val="22"/>
          <w:szCs w:val="22"/>
        </w:rPr>
        <w:t>KHV upozorňuje na skutečnost, že v dosavadních výzvách EXPRO byl podíl podpořených projektů zhruba dvakrát vyšší mezi muži navrhovateli (17</w:t>
      </w:r>
      <w:r>
        <w:rPr>
          <w:rFonts w:ascii="Arial" w:hAnsi="Arial" w:cs="Arial"/>
          <w:sz w:val="22"/>
          <w:szCs w:val="22"/>
        </w:rPr>
        <w:t xml:space="preserve"> </w:t>
      </w:r>
      <w:r w:rsidRPr="002E3CFC">
        <w:rPr>
          <w:rFonts w:ascii="Arial" w:hAnsi="Arial" w:cs="Arial"/>
          <w:sz w:val="22"/>
          <w:szCs w:val="22"/>
        </w:rPr>
        <w:t>%) než mezi ženami navrhovatelkami (8</w:t>
      </w:r>
      <w:r>
        <w:rPr>
          <w:rFonts w:ascii="Arial" w:hAnsi="Arial" w:cs="Arial"/>
          <w:sz w:val="22"/>
          <w:szCs w:val="22"/>
        </w:rPr>
        <w:t xml:space="preserve"> </w:t>
      </w:r>
      <w:r w:rsidRPr="002E3CFC">
        <w:rPr>
          <w:rFonts w:ascii="Arial" w:hAnsi="Arial" w:cs="Arial"/>
          <w:sz w:val="22"/>
          <w:szCs w:val="22"/>
        </w:rPr>
        <w:t>%). KHV doporučuje před vypsáním dalších výzev podrobněji analyzovat příčiny genderové nevyrovnanosti v úspěšnosti návrhů projektů.</w:t>
      </w:r>
    </w:p>
    <w:p w14:paraId="537CC7FA" w14:textId="0A382544" w:rsidR="00A6693F" w:rsidRDefault="00A6693F" w:rsidP="00923D06">
      <w:pPr>
        <w:pStyle w:val="Odstavecseseznamem"/>
        <w:numPr>
          <w:ilvl w:val="0"/>
          <w:numId w:val="26"/>
        </w:numPr>
        <w:spacing w:before="240" w:after="120"/>
        <w:ind w:left="567" w:hanging="567"/>
        <w:contextualSpacing w:val="0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Připomínky Rady k návrhu změny SGP EXPRO</w:t>
      </w:r>
    </w:p>
    <w:p w14:paraId="057BF3D9" w14:textId="423A9009" w:rsidR="00756010" w:rsidRDefault="00756010" w:rsidP="00756010">
      <w:pPr>
        <w:spacing w:before="240" w:after="120"/>
        <w:jc w:val="both"/>
        <w:rPr>
          <w:rFonts w:ascii="Arial" w:hAnsi="Arial" w:cs="Arial"/>
          <w:b/>
          <w:sz w:val="22"/>
          <w:szCs w:val="22"/>
        </w:rPr>
      </w:pPr>
      <w:r w:rsidRPr="00305FD8">
        <w:rPr>
          <w:rFonts w:ascii="Arial" w:hAnsi="Arial" w:cs="Arial"/>
          <w:b/>
          <w:sz w:val="22"/>
          <w:szCs w:val="22"/>
        </w:rPr>
        <w:t>Zásadní připomínky</w:t>
      </w:r>
    </w:p>
    <w:p w14:paraId="37EE195A" w14:textId="12F1E532" w:rsidR="00820D70" w:rsidRDefault="00820D70" w:rsidP="00994094">
      <w:pPr>
        <w:pStyle w:val="Odstavecseseznamem"/>
        <w:numPr>
          <w:ilvl w:val="0"/>
          <w:numId w:val="35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celkovým výdajům SGP EXPRO</w:t>
      </w:r>
    </w:p>
    <w:p w14:paraId="0740DB08" w14:textId="4C75038A" w:rsidR="00820D70" w:rsidRPr="00820D70" w:rsidRDefault="00820D70" w:rsidP="00820D70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820D70">
        <w:rPr>
          <w:rFonts w:ascii="Arial" w:hAnsi="Arial" w:cs="Arial"/>
          <w:sz w:val="22"/>
          <w:szCs w:val="22"/>
        </w:rPr>
        <w:t>Rada žádá o doplnění</w:t>
      </w:r>
      <w:r w:rsidR="00854107">
        <w:rPr>
          <w:rFonts w:ascii="Arial" w:hAnsi="Arial" w:cs="Arial"/>
          <w:sz w:val="22"/>
          <w:szCs w:val="22"/>
        </w:rPr>
        <w:t xml:space="preserve"> předkládací zprávy o</w:t>
      </w:r>
      <w:r w:rsidRPr="00820D70">
        <w:rPr>
          <w:rFonts w:ascii="Arial" w:hAnsi="Arial" w:cs="Arial"/>
          <w:sz w:val="22"/>
          <w:szCs w:val="22"/>
        </w:rPr>
        <w:t xml:space="preserve"> informace, z jakého důvodu navrhuje poskytovatel tak významné snížení alokací v letech. I když nebylo možné zatím žádnou soutěž vyhodnotit, existují alespoň nějaká data, dle kterých se dá vyvodit potřeba financování?</w:t>
      </w:r>
    </w:p>
    <w:p w14:paraId="0AED92E5" w14:textId="21822EF0" w:rsidR="00820D70" w:rsidRPr="00820D70" w:rsidRDefault="00820D70" w:rsidP="00820D70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820D70">
        <w:rPr>
          <w:rFonts w:ascii="Arial" w:hAnsi="Arial" w:cs="Arial"/>
          <w:sz w:val="22"/>
          <w:szCs w:val="22"/>
        </w:rPr>
        <w:t>Zdůvodnění:</w:t>
      </w:r>
    </w:p>
    <w:p w14:paraId="0E9044E8" w14:textId="5C34DF65" w:rsidR="00820D70" w:rsidRPr="00820D70" w:rsidRDefault="00820D70" w:rsidP="00820D70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820D70">
        <w:rPr>
          <w:rFonts w:ascii="Arial" w:hAnsi="Arial" w:cs="Arial"/>
          <w:sz w:val="22"/>
          <w:szCs w:val="22"/>
        </w:rPr>
        <w:t xml:space="preserve">Poskytovatel navrhuje prodloužení </w:t>
      </w:r>
      <w:r w:rsidR="00854107">
        <w:rPr>
          <w:rFonts w:ascii="Arial" w:hAnsi="Arial" w:cs="Arial"/>
          <w:sz w:val="22"/>
          <w:szCs w:val="22"/>
        </w:rPr>
        <w:t xml:space="preserve">SGP </w:t>
      </w:r>
      <w:r w:rsidRPr="00820D70">
        <w:rPr>
          <w:rFonts w:ascii="Arial" w:hAnsi="Arial" w:cs="Arial"/>
          <w:sz w:val="22"/>
          <w:szCs w:val="22"/>
        </w:rPr>
        <w:t>EXPRO o 5 let (do roku 2035) a významné snížení předpokládaných ročních výdajů v období let 2027-2030 oproti původní schválené verzi (viz srovnání níže).</w:t>
      </w:r>
    </w:p>
    <w:p w14:paraId="1A15EDF0" w14:textId="16C134FF" w:rsidR="000E1830" w:rsidRPr="000E1830" w:rsidRDefault="00820D70" w:rsidP="00C53666">
      <w:pPr>
        <w:spacing w:after="120"/>
        <w:ind w:firstLine="357"/>
        <w:jc w:val="both"/>
        <w:rPr>
          <w:rFonts w:ascii="Arial" w:hAnsi="Arial" w:cs="Arial"/>
          <w:sz w:val="22"/>
          <w:szCs w:val="22"/>
        </w:rPr>
      </w:pPr>
      <w:r w:rsidRPr="000E1830">
        <w:rPr>
          <w:rFonts w:ascii="Arial" w:hAnsi="Arial" w:cs="Arial"/>
          <w:sz w:val="22"/>
          <w:szCs w:val="22"/>
        </w:rPr>
        <w:t>Předpokládané roční výdaje projektů EXPRO vs výdaje v návrhu RVVI (v mil. Kč):</w:t>
      </w:r>
    </w:p>
    <w:tbl>
      <w:tblPr>
        <w:tblStyle w:val="Mkatabulky"/>
        <w:tblW w:w="4924" w:type="pct"/>
        <w:tblInd w:w="137" w:type="dxa"/>
        <w:tblLook w:val="04A0" w:firstRow="1" w:lastRow="0" w:firstColumn="1" w:lastColumn="0" w:noHBand="0" w:noVBand="1"/>
      </w:tblPr>
      <w:tblGrid>
        <w:gridCol w:w="1443"/>
        <w:gridCol w:w="767"/>
        <w:gridCol w:w="767"/>
        <w:gridCol w:w="705"/>
        <w:gridCol w:w="705"/>
        <w:gridCol w:w="705"/>
        <w:gridCol w:w="705"/>
        <w:gridCol w:w="705"/>
        <w:gridCol w:w="705"/>
        <w:gridCol w:w="705"/>
        <w:gridCol w:w="1012"/>
      </w:tblGrid>
      <w:tr w:rsidR="00820D70" w:rsidRPr="00C53666" w14:paraId="5395EDE6" w14:textId="77777777" w:rsidTr="00C53666">
        <w:trPr>
          <w:trHeight w:val="376"/>
        </w:trPr>
        <w:tc>
          <w:tcPr>
            <w:tcW w:w="808" w:type="pct"/>
          </w:tcPr>
          <w:p w14:paraId="3634F002" w14:textId="77777777" w:rsidR="00820D70" w:rsidRPr="00C53666" w:rsidRDefault="00820D70" w:rsidP="00B70F77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pct"/>
            <w:shd w:val="clear" w:color="auto" w:fill="D9D9D9" w:themeFill="background1" w:themeFillShade="D9"/>
          </w:tcPr>
          <w:p w14:paraId="27E85A04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14:paraId="17D20467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395" w:type="pct"/>
            <w:shd w:val="clear" w:color="auto" w:fill="D9D9D9" w:themeFill="background1" w:themeFillShade="D9"/>
          </w:tcPr>
          <w:p w14:paraId="6EFF98B0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395" w:type="pct"/>
            <w:shd w:val="clear" w:color="auto" w:fill="D9D9D9" w:themeFill="background1" w:themeFillShade="D9"/>
          </w:tcPr>
          <w:p w14:paraId="5E919DC2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395" w:type="pct"/>
            <w:shd w:val="clear" w:color="auto" w:fill="D9D9D9" w:themeFill="background1" w:themeFillShade="D9"/>
          </w:tcPr>
          <w:p w14:paraId="135E0534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2031</w:t>
            </w:r>
          </w:p>
        </w:tc>
        <w:tc>
          <w:tcPr>
            <w:tcW w:w="395" w:type="pct"/>
            <w:shd w:val="clear" w:color="auto" w:fill="D9D9D9" w:themeFill="background1" w:themeFillShade="D9"/>
          </w:tcPr>
          <w:p w14:paraId="18FA5AAF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395" w:type="pct"/>
            <w:shd w:val="clear" w:color="auto" w:fill="D9D9D9" w:themeFill="background1" w:themeFillShade="D9"/>
          </w:tcPr>
          <w:p w14:paraId="5775A74A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2033</w:t>
            </w:r>
          </w:p>
        </w:tc>
        <w:tc>
          <w:tcPr>
            <w:tcW w:w="395" w:type="pct"/>
            <w:shd w:val="clear" w:color="auto" w:fill="D9D9D9" w:themeFill="background1" w:themeFillShade="D9"/>
          </w:tcPr>
          <w:p w14:paraId="579FB92B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2034</w:t>
            </w:r>
          </w:p>
        </w:tc>
        <w:tc>
          <w:tcPr>
            <w:tcW w:w="395" w:type="pct"/>
            <w:shd w:val="clear" w:color="auto" w:fill="D9D9D9" w:themeFill="background1" w:themeFillShade="D9"/>
          </w:tcPr>
          <w:p w14:paraId="258F870E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2035</w:t>
            </w:r>
          </w:p>
        </w:tc>
        <w:tc>
          <w:tcPr>
            <w:tcW w:w="568" w:type="pct"/>
            <w:shd w:val="clear" w:color="auto" w:fill="D9D9D9" w:themeFill="background1" w:themeFillShade="D9"/>
          </w:tcPr>
          <w:p w14:paraId="0E3CF529" w14:textId="77777777" w:rsidR="00820D70" w:rsidRPr="00C53666" w:rsidRDefault="00820D70" w:rsidP="00B70F77">
            <w:pPr>
              <w:keepNext/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</w:tr>
      <w:tr w:rsidR="00820D70" w:rsidRPr="00C53666" w14:paraId="0093D91D" w14:textId="77777777" w:rsidTr="00C53666">
        <w:tc>
          <w:tcPr>
            <w:tcW w:w="808" w:type="pct"/>
          </w:tcPr>
          <w:p w14:paraId="39D47FC0" w14:textId="77777777" w:rsidR="00820D70" w:rsidRPr="00C53666" w:rsidRDefault="00820D70" w:rsidP="00753B84">
            <w:pPr>
              <w:keepNext/>
              <w:spacing w:before="60" w:after="120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Původní předpoklad</w:t>
            </w:r>
          </w:p>
        </w:tc>
        <w:tc>
          <w:tcPr>
            <w:tcW w:w="430" w:type="pct"/>
          </w:tcPr>
          <w:p w14:paraId="2835B182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1.350</w:t>
            </w:r>
          </w:p>
        </w:tc>
        <w:tc>
          <w:tcPr>
            <w:tcW w:w="430" w:type="pct"/>
          </w:tcPr>
          <w:p w14:paraId="2EE78A04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1.350</w:t>
            </w:r>
          </w:p>
        </w:tc>
        <w:tc>
          <w:tcPr>
            <w:tcW w:w="395" w:type="pct"/>
          </w:tcPr>
          <w:p w14:paraId="03A6815D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395" w:type="pct"/>
          </w:tcPr>
          <w:p w14:paraId="25BD9252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395" w:type="pct"/>
          </w:tcPr>
          <w:p w14:paraId="74A31CD7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30966821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152595EE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5DF57A11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2D58B744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</w:tcPr>
          <w:p w14:paraId="3F7B846B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3.900</w:t>
            </w:r>
          </w:p>
        </w:tc>
      </w:tr>
      <w:tr w:rsidR="00820D70" w:rsidRPr="00C53666" w14:paraId="740D1E47" w14:textId="77777777" w:rsidTr="00C53666">
        <w:tc>
          <w:tcPr>
            <w:tcW w:w="808" w:type="pct"/>
          </w:tcPr>
          <w:p w14:paraId="42FCD1A7" w14:textId="77777777" w:rsidR="00820D70" w:rsidRPr="00C53666" w:rsidRDefault="00820D70" w:rsidP="00753B84">
            <w:pPr>
              <w:keepNext/>
              <w:spacing w:before="60" w:after="120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 xml:space="preserve">Nový návrh výdajů </w:t>
            </w:r>
          </w:p>
        </w:tc>
        <w:tc>
          <w:tcPr>
            <w:tcW w:w="430" w:type="pct"/>
          </w:tcPr>
          <w:p w14:paraId="7803BC46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430" w:type="pct"/>
          </w:tcPr>
          <w:p w14:paraId="425AAF1C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395" w:type="pct"/>
          </w:tcPr>
          <w:p w14:paraId="2BFC8B62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95" w:type="pct"/>
          </w:tcPr>
          <w:p w14:paraId="127BE9A6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395" w:type="pct"/>
          </w:tcPr>
          <w:p w14:paraId="36BF3DE0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95" w:type="pct"/>
          </w:tcPr>
          <w:p w14:paraId="61B59988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395" w:type="pct"/>
          </w:tcPr>
          <w:p w14:paraId="0ECFEA79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395" w:type="pct"/>
          </w:tcPr>
          <w:p w14:paraId="5962E54B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395" w:type="pct"/>
          </w:tcPr>
          <w:p w14:paraId="42035712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68" w:type="pct"/>
          </w:tcPr>
          <w:p w14:paraId="15302BCD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3666">
              <w:rPr>
                <w:rFonts w:ascii="Arial" w:hAnsi="Arial" w:cs="Arial"/>
                <w:b/>
                <w:bCs/>
                <w:sz w:val="20"/>
                <w:szCs w:val="20"/>
              </w:rPr>
              <w:t>3.800</w:t>
            </w:r>
          </w:p>
        </w:tc>
      </w:tr>
      <w:tr w:rsidR="00820D70" w:rsidRPr="00C53666" w14:paraId="385250B6" w14:textId="77777777" w:rsidTr="00C53666">
        <w:tc>
          <w:tcPr>
            <w:tcW w:w="808" w:type="pct"/>
          </w:tcPr>
          <w:p w14:paraId="364F7C96" w14:textId="77777777" w:rsidR="00820D70" w:rsidRPr="00C53666" w:rsidRDefault="00820D70" w:rsidP="00753B84">
            <w:pPr>
              <w:keepNext/>
              <w:spacing w:before="60" w:after="120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Návrh výdajů RVVI</w:t>
            </w:r>
          </w:p>
        </w:tc>
        <w:tc>
          <w:tcPr>
            <w:tcW w:w="430" w:type="pct"/>
          </w:tcPr>
          <w:p w14:paraId="226B4476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625</w:t>
            </w:r>
          </w:p>
        </w:tc>
        <w:tc>
          <w:tcPr>
            <w:tcW w:w="430" w:type="pct"/>
          </w:tcPr>
          <w:p w14:paraId="082E1EAA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3666">
              <w:rPr>
                <w:rFonts w:ascii="Arial" w:hAnsi="Arial" w:cs="Arial"/>
                <w:sz w:val="20"/>
                <w:szCs w:val="20"/>
              </w:rPr>
              <w:t>625</w:t>
            </w:r>
          </w:p>
        </w:tc>
        <w:tc>
          <w:tcPr>
            <w:tcW w:w="395" w:type="pct"/>
          </w:tcPr>
          <w:p w14:paraId="6C5B1148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7CB2F9D4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792731D3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6FAF5693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34992709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727B51D1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</w:tcPr>
          <w:p w14:paraId="7FFEBF0D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pct"/>
          </w:tcPr>
          <w:p w14:paraId="6AF446F0" w14:textId="77777777" w:rsidR="00820D70" w:rsidRPr="00C53666" w:rsidRDefault="00820D70" w:rsidP="00B70F77">
            <w:pPr>
              <w:keepNext/>
              <w:spacing w:before="6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8EF22C5" w14:textId="77777777" w:rsidR="00820D70" w:rsidRPr="00820D70" w:rsidRDefault="00820D70" w:rsidP="00820D70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</w:p>
    <w:p w14:paraId="761BDECF" w14:textId="55AB9E44" w:rsidR="00820D70" w:rsidRPr="00753B84" w:rsidRDefault="00820D70" w:rsidP="00753B8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753B84">
        <w:rPr>
          <w:rFonts w:ascii="Arial" w:hAnsi="Arial" w:cs="Arial"/>
          <w:sz w:val="22"/>
          <w:szCs w:val="22"/>
        </w:rPr>
        <w:t xml:space="preserve">Dle schválené </w:t>
      </w:r>
      <w:r w:rsidR="00854107">
        <w:rPr>
          <w:rFonts w:ascii="Arial" w:hAnsi="Arial" w:cs="Arial"/>
          <w:sz w:val="22"/>
          <w:szCs w:val="22"/>
        </w:rPr>
        <w:t>SGP</w:t>
      </w:r>
      <w:r w:rsidRPr="00753B84">
        <w:rPr>
          <w:rFonts w:ascii="Arial" w:hAnsi="Arial" w:cs="Arial"/>
          <w:sz w:val="22"/>
          <w:szCs w:val="22"/>
        </w:rPr>
        <w:t xml:space="preserve"> EXPRO měly výdaje za celé období let 2019-2030 dosáhnout celkové výše 13,5 mld. Kč. Za období let 2027-2030 byly výdaje předpokládány v celkové výši </w:t>
      </w:r>
      <w:r w:rsidRPr="00753B84">
        <w:rPr>
          <w:rFonts w:ascii="Arial" w:hAnsi="Arial" w:cs="Arial"/>
          <w:sz w:val="22"/>
          <w:szCs w:val="22"/>
        </w:rPr>
        <w:lastRenderedPageBreak/>
        <w:t>3,9</w:t>
      </w:r>
      <w:r w:rsidR="00304BFA">
        <w:rPr>
          <w:rFonts w:ascii="Arial" w:hAnsi="Arial" w:cs="Arial"/>
          <w:sz w:val="22"/>
          <w:szCs w:val="22"/>
        </w:rPr>
        <w:t> </w:t>
      </w:r>
      <w:r w:rsidRPr="00753B84">
        <w:rPr>
          <w:rFonts w:ascii="Arial" w:hAnsi="Arial" w:cs="Arial"/>
          <w:sz w:val="22"/>
          <w:szCs w:val="22"/>
        </w:rPr>
        <w:t>mld. Kč, v novém návrhu jsou za období let 2027-2035 předpokládány celkové výdaje ve výši 3,8 mld. Kč. Dochází tak k výraznému rozvolnění původních plánovaných alokací. Poskytovatel uvádí, že nebylo doposud možné vyhodnotit žádnou soutěž, nicméně neuvádí důvod, proč navrhuje tak významné snížení v letech.</w:t>
      </w:r>
    </w:p>
    <w:p w14:paraId="60A16192" w14:textId="65D0C995" w:rsidR="00753B84" w:rsidRPr="00753B84" w:rsidRDefault="00753B84" w:rsidP="00753B84">
      <w:pPr>
        <w:pStyle w:val="Odstavecseseznamem"/>
        <w:numPr>
          <w:ilvl w:val="0"/>
          <w:numId w:val="35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53B84">
        <w:rPr>
          <w:rFonts w:ascii="Arial" w:hAnsi="Arial" w:cs="Arial"/>
          <w:sz w:val="22"/>
          <w:szCs w:val="22"/>
        </w:rPr>
        <w:t>K financování ze státního rozpočtu</w:t>
      </w:r>
    </w:p>
    <w:p w14:paraId="3FBD8C4A" w14:textId="1A66EA1A" w:rsidR="00753B84" w:rsidRPr="00753B84" w:rsidRDefault="00753B84" w:rsidP="00753B8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753B84">
        <w:rPr>
          <w:rFonts w:ascii="Arial" w:hAnsi="Arial" w:cs="Arial"/>
          <w:sz w:val="22"/>
          <w:szCs w:val="22"/>
        </w:rPr>
        <w:t>Rada žádá doplnění do návrhu usnesení vlády i do materiálu, že financování SGP EXPRO bude dle možností státního rozpočtu.</w:t>
      </w:r>
    </w:p>
    <w:p w14:paraId="70338369" w14:textId="2E3B54AC" w:rsidR="00753B84" w:rsidRPr="00753B84" w:rsidRDefault="00753B84" w:rsidP="00753B8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753B84">
        <w:rPr>
          <w:rFonts w:ascii="Arial" w:hAnsi="Arial" w:cs="Arial"/>
          <w:sz w:val="22"/>
          <w:szCs w:val="22"/>
        </w:rPr>
        <w:t>Zdůvodnění:</w:t>
      </w:r>
    </w:p>
    <w:p w14:paraId="772A3076" w14:textId="5C20A653" w:rsidR="00753B84" w:rsidRPr="00753B84" w:rsidRDefault="00753B84" w:rsidP="00753B8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753B84">
        <w:rPr>
          <w:rFonts w:ascii="Arial" w:hAnsi="Arial" w:cs="Arial"/>
          <w:sz w:val="22"/>
          <w:szCs w:val="22"/>
        </w:rPr>
        <w:t>Rada upozorňuje, že schválení změny SGP EXPRO vládou nezakládá automaticky nárok na její financování ze státního rozpočtu v objemech navržených v materiálu.</w:t>
      </w:r>
    </w:p>
    <w:p w14:paraId="42F85127" w14:textId="5C569DE4" w:rsidR="00820D70" w:rsidRPr="00753B84" w:rsidRDefault="00753B84" w:rsidP="00753B8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753B84">
        <w:rPr>
          <w:rFonts w:ascii="Arial" w:hAnsi="Arial" w:cs="Arial"/>
          <w:sz w:val="22"/>
          <w:szCs w:val="22"/>
        </w:rPr>
        <w:t xml:space="preserve">Rada schválila na svém 412. zasedání dne 30. </w:t>
      </w:r>
      <w:r w:rsidR="003819E4">
        <w:rPr>
          <w:rFonts w:ascii="Arial" w:hAnsi="Arial" w:cs="Arial"/>
          <w:sz w:val="22"/>
          <w:szCs w:val="22"/>
        </w:rPr>
        <w:t>května</w:t>
      </w:r>
      <w:r w:rsidRPr="00753B84">
        <w:rPr>
          <w:rFonts w:ascii="Arial" w:hAnsi="Arial" w:cs="Arial"/>
          <w:sz w:val="22"/>
          <w:szCs w:val="22"/>
        </w:rPr>
        <w:t xml:space="preserve"> 2025 návrh výdajů na </w:t>
      </w:r>
      <w:proofErr w:type="spellStart"/>
      <w:r w:rsidRPr="00753B84">
        <w:rPr>
          <w:rFonts w:ascii="Arial" w:hAnsi="Arial" w:cs="Arial"/>
          <w:sz w:val="22"/>
          <w:szCs w:val="22"/>
        </w:rPr>
        <w:t>VaVaI</w:t>
      </w:r>
      <w:proofErr w:type="spellEnd"/>
      <w:r w:rsidRPr="00753B84">
        <w:rPr>
          <w:rFonts w:ascii="Arial" w:hAnsi="Arial" w:cs="Arial"/>
          <w:sz w:val="22"/>
          <w:szCs w:val="22"/>
        </w:rPr>
        <w:t xml:space="preserve"> na</w:t>
      </w:r>
      <w:r w:rsidR="00304BFA">
        <w:rPr>
          <w:rFonts w:ascii="Arial" w:hAnsi="Arial" w:cs="Arial"/>
          <w:sz w:val="22"/>
          <w:szCs w:val="22"/>
        </w:rPr>
        <w:t> </w:t>
      </w:r>
      <w:r w:rsidRPr="00753B84">
        <w:rPr>
          <w:rFonts w:ascii="Arial" w:hAnsi="Arial" w:cs="Arial"/>
          <w:sz w:val="22"/>
          <w:szCs w:val="22"/>
        </w:rPr>
        <w:t>období 2026+, který bude v nejbližších dnech projednán vládou. V tomto návrhu jsou pro skupinu grantových projektů EXPRO navrženy výdaje pro roky 2027 a 2028 v roční výši 625 mil. Kč. Vzhledem k tomu, že výdaje navržené Radou jsou na rok 2027 o 25 mil. Kč a</w:t>
      </w:r>
      <w:r w:rsidR="00494874">
        <w:rPr>
          <w:rFonts w:ascii="Arial" w:hAnsi="Arial" w:cs="Arial"/>
          <w:sz w:val="22"/>
          <w:szCs w:val="22"/>
        </w:rPr>
        <w:t> </w:t>
      </w:r>
      <w:r w:rsidRPr="00753B84">
        <w:rPr>
          <w:rFonts w:ascii="Arial" w:hAnsi="Arial" w:cs="Arial"/>
          <w:sz w:val="22"/>
          <w:szCs w:val="22"/>
        </w:rPr>
        <w:t xml:space="preserve">na rok 2028 o 225 mil. Kč vyšší než nově navrhované alokace EXPRO, bude nutné výdaje navržené Radou snížit, a to nejpozději při zpracování návrhu výdajů na </w:t>
      </w:r>
      <w:proofErr w:type="spellStart"/>
      <w:r w:rsidRPr="00753B84">
        <w:rPr>
          <w:rFonts w:ascii="Arial" w:hAnsi="Arial" w:cs="Arial"/>
          <w:sz w:val="22"/>
          <w:szCs w:val="22"/>
        </w:rPr>
        <w:t>VaVaI</w:t>
      </w:r>
      <w:proofErr w:type="spellEnd"/>
      <w:r w:rsidRPr="00753B84">
        <w:rPr>
          <w:rFonts w:ascii="Arial" w:hAnsi="Arial" w:cs="Arial"/>
          <w:sz w:val="22"/>
          <w:szCs w:val="22"/>
        </w:rPr>
        <w:t xml:space="preserve"> na</w:t>
      </w:r>
      <w:r w:rsidR="00304BFA">
        <w:rPr>
          <w:rFonts w:ascii="Arial" w:hAnsi="Arial" w:cs="Arial"/>
          <w:sz w:val="22"/>
          <w:szCs w:val="22"/>
        </w:rPr>
        <w:t> </w:t>
      </w:r>
      <w:r w:rsidRPr="00753B84">
        <w:rPr>
          <w:rFonts w:ascii="Arial" w:hAnsi="Arial" w:cs="Arial"/>
          <w:sz w:val="22"/>
          <w:szCs w:val="22"/>
        </w:rPr>
        <w:t>období 2027+. Rada požaduje, aby tuto skutečnost poskytovatel zohlednil v rámci svého návrhu výdajů na období let 2027-2029.</w:t>
      </w:r>
    </w:p>
    <w:p w14:paraId="1CD64C9E" w14:textId="60E7CE9C" w:rsidR="00994094" w:rsidRPr="00753B84" w:rsidRDefault="00994094" w:rsidP="00994094">
      <w:pPr>
        <w:pStyle w:val="Odstavecseseznamem"/>
        <w:numPr>
          <w:ilvl w:val="0"/>
          <w:numId w:val="35"/>
        </w:numPr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53B84">
        <w:rPr>
          <w:rFonts w:ascii="Arial" w:hAnsi="Arial" w:cs="Arial"/>
          <w:sz w:val="22"/>
          <w:szCs w:val="22"/>
        </w:rPr>
        <w:t>Rada žádá poskytovatele, aby (indikátor, cíl, kritérium, očekávaný přínos…) „podání žádosti do jedné z hlavních výzev ERC“ artikuloval jako jeden z hlavních nebo dílčích cílů SGP EXPRO.</w:t>
      </w:r>
    </w:p>
    <w:p w14:paraId="64460663" w14:textId="77777777" w:rsidR="00994094" w:rsidRPr="00E95AAD" w:rsidRDefault="00994094" w:rsidP="00994094">
      <w:pPr>
        <w:spacing w:before="240" w:after="120"/>
        <w:ind w:firstLine="357"/>
        <w:jc w:val="both"/>
        <w:rPr>
          <w:rFonts w:ascii="Arial" w:hAnsi="Arial" w:cs="Arial"/>
          <w:bCs/>
          <w:sz w:val="22"/>
          <w:szCs w:val="22"/>
        </w:rPr>
      </w:pPr>
      <w:r w:rsidRPr="00E95AAD">
        <w:rPr>
          <w:rFonts w:ascii="Arial" w:hAnsi="Arial" w:cs="Arial"/>
          <w:bCs/>
          <w:sz w:val="22"/>
          <w:szCs w:val="22"/>
        </w:rPr>
        <w:t>Zdůvodnění:</w:t>
      </w:r>
    </w:p>
    <w:p w14:paraId="10AAF1FB" w14:textId="0C0D7BAA" w:rsidR="00820D70" w:rsidRDefault="00994094" w:rsidP="00820D70">
      <w:pPr>
        <w:pStyle w:val="Odstavecseseznamem"/>
        <w:spacing w:before="240" w:after="120"/>
        <w:ind w:left="360"/>
        <w:contextualSpacing w:val="0"/>
        <w:jc w:val="both"/>
      </w:pPr>
      <w:r w:rsidRPr="00CA7990">
        <w:rPr>
          <w:rFonts w:ascii="Arial" w:hAnsi="Arial" w:cs="Arial"/>
          <w:sz w:val="22"/>
          <w:szCs w:val="22"/>
        </w:rPr>
        <w:t>České výzkumné prostředí v oblasti excelence doznává výrazných změn. SPG EXPRO se</w:t>
      </w:r>
      <w:r w:rsidR="00304BFA">
        <w:rPr>
          <w:rFonts w:ascii="Arial" w:hAnsi="Arial" w:cs="Arial"/>
          <w:sz w:val="22"/>
          <w:szCs w:val="22"/>
        </w:rPr>
        <w:t> </w:t>
      </w:r>
      <w:r w:rsidRPr="00CA7990">
        <w:rPr>
          <w:rFonts w:ascii="Arial" w:hAnsi="Arial" w:cs="Arial"/>
          <w:sz w:val="22"/>
          <w:szCs w:val="22"/>
        </w:rPr>
        <w:t>stávají jedním, nikoli jediným, z nástrojů podpory excelence. Závěrečné hodnocení pak může být v tomto ohledu posuzováno též v komparaci s výsledky/výstupy např. Programu Excelence (MŠMT), vyhodnocením podpůrných aktivit v rámci PSČ CZERA nebo výstupy Programu Akademie budoucnosti</w:t>
      </w:r>
      <w:r>
        <w:t>.</w:t>
      </w:r>
    </w:p>
    <w:p w14:paraId="0895F5BB" w14:textId="77777777" w:rsidR="00994094" w:rsidRPr="00CA7990" w:rsidRDefault="00994094" w:rsidP="00994094">
      <w:pPr>
        <w:pStyle w:val="Odstavecseseznamem"/>
        <w:numPr>
          <w:ilvl w:val="0"/>
          <w:numId w:val="35"/>
        </w:numPr>
        <w:spacing w:before="240" w:after="120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A7990">
        <w:rPr>
          <w:rFonts w:ascii="Arial" w:hAnsi="Arial" w:cs="Arial"/>
          <w:sz w:val="22"/>
          <w:szCs w:val="22"/>
        </w:rPr>
        <w:t>K materiálu, 18. Průběžné hodnocení řešených projektů (interim), s. 11</w:t>
      </w:r>
    </w:p>
    <w:p w14:paraId="7C00B982" w14:textId="77777777" w:rsidR="00994094" w:rsidRPr="00CA7990" w:rsidRDefault="00994094" w:rsidP="009940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CA7990">
        <w:rPr>
          <w:rFonts w:ascii="Arial" w:hAnsi="Arial" w:cs="Arial"/>
          <w:sz w:val="22"/>
          <w:szCs w:val="22"/>
        </w:rPr>
        <w:t>Rada žádá, aby podklady pro odborné hodnocení průběhu řešení grantového projektu prováděného mezinárodní oborovou komisí GA ČR po 2,5 letech trvání projektu obsahovaly též návrh (jakkoli dílčí) ERC projektu.</w:t>
      </w:r>
    </w:p>
    <w:p w14:paraId="42D9A15E" w14:textId="77777777" w:rsidR="00994094" w:rsidRPr="00CA7990" w:rsidRDefault="00994094" w:rsidP="00994094">
      <w:pPr>
        <w:spacing w:after="120"/>
        <w:ind w:firstLine="360"/>
        <w:jc w:val="both"/>
        <w:rPr>
          <w:rFonts w:ascii="Arial" w:hAnsi="Arial" w:cs="Arial"/>
          <w:sz w:val="22"/>
          <w:szCs w:val="22"/>
        </w:rPr>
      </w:pPr>
      <w:r w:rsidRPr="00CA7990">
        <w:rPr>
          <w:rFonts w:ascii="Arial" w:hAnsi="Arial" w:cs="Arial"/>
          <w:sz w:val="22"/>
          <w:szCs w:val="22"/>
        </w:rPr>
        <w:t>Zdůvodnění:</w:t>
      </w:r>
    </w:p>
    <w:p w14:paraId="3CCFE4F6" w14:textId="1FB76220" w:rsidR="00994094" w:rsidRPr="00994094" w:rsidRDefault="00994094" w:rsidP="00994094">
      <w:pPr>
        <w:spacing w:before="240" w:after="120"/>
        <w:ind w:left="360"/>
        <w:jc w:val="both"/>
        <w:rPr>
          <w:rFonts w:ascii="Arial" w:hAnsi="Arial" w:cs="Arial"/>
          <w:sz w:val="22"/>
          <w:szCs w:val="22"/>
        </w:rPr>
      </w:pPr>
      <w:r w:rsidRPr="00CA7990">
        <w:rPr>
          <w:rFonts w:ascii="Arial" w:hAnsi="Arial" w:cs="Arial"/>
          <w:sz w:val="22"/>
          <w:szCs w:val="22"/>
        </w:rPr>
        <w:t>Příprava podání žádosti do jedné z hlavních výzev ERC by měla být přítomna od</w:t>
      </w:r>
      <w:r>
        <w:rPr>
          <w:rFonts w:ascii="Arial" w:hAnsi="Arial" w:cs="Arial"/>
          <w:sz w:val="22"/>
          <w:szCs w:val="22"/>
        </w:rPr>
        <w:t> </w:t>
      </w:r>
      <w:r w:rsidRPr="00CA7990">
        <w:rPr>
          <w:rFonts w:ascii="Arial" w:hAnsi="Arial" w:cs="Arial"/>
          <w:sz w:val="22"/>
          <w:szCs w:val="22"/>
        </w:rPr>
        <w:t>samého počátku řešení grantového projektu a po 2,5 letech řešení již nabývat, byť dílčích, kontur, kterým by se dostalo mezinárodní posouzení.</w:t>
      </w:r>
    </w:p>
    <w:p w14:paraId="0E8F78C7" w14:textId="77777777" w:rsidR="00994094" w:rsidRDefault="00994094" w:rsidP="00994094">
      <w:pPr>
        <w:pStyle w:val="Odstavecseseznamem"/>
        <w:numPr>
          <w:ilvl w:val="0"/>
          <w:numId w:val="35"/>
        </w:numPr>
        <w:spacing w:before="240" w:after="120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předkládací zprávě, s. 1</w:t>
      </w:r>
    </w:p>
    <w:p w14:paraId="311921BE" w14:textId="4B91ED62" w:rsidR="00994094" w:rsidRDefault="00994094" w:rsidP="00994094">
      <w:pPr>
        <w:pStyle w:val="Odstavecseseznamem"/>
        <w:spacing w:before="240" w:after="120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uvádí: „</w:t>
      </w:r>
      <w:r w:rsidRPr="0096390F">
        <w:rPr>
          <w:rFonts w:ascii="Arial" w:hAnsi="Arial" w:cs="Arial"/>
          <w:i/>
          <w:iCs/>
          <w:sz w:val="22"/>
          <w:szCs w:val="22"/>
        </w:rPr>
        <w:t>Přínos skupiny grantových projektů nelze zhodnotit bez vyhodnocení alespoň 3 prvních soutěží (hodnocení první soutěže plánováno na 7/2025). Aby bylo možné přínos skupiny grantových projektů řádně vyhodnotit, navrhuje se prodloužit skupinu grantových projektů Grantové projekty excelence v základním výzkumu EXPRO do roku 2035 s tím, že budou vyhlášeny další tři veřejné soutěže v letech 2026, 2028 a</w:t>
      </w:r>
      <w:r w:rsidR="00494874">
        <w:rPr>
          <w:rFonts w:ascii="Arial" w:hAnsi="Arial" w:cs="Arial"/>
          <w:i/>
          <w:iCs/>
          <w:sz w:val="22"/>
          <w:szCs w:val="22"/>
        </w:rPr>
        <w:t> </w:t>
      </w:r>
      <w:r w:rsidRPr="0096390F">
        <w:rPr>
          <w:rFonts w:ascii="Arial" w:hAnsi="Arial" w:cs="Arial"/>
          <w:i/>
          <w:iCs/>
          <w:sz w:val="22"/>
          <w:szCs w:val="22"/>
        </w:rPr>
        <w:t>2030, s počátkem řešení projektů v letech 2027, 2029 a 2031.“</w:t>
      </w:r>
    </w:p>
    <w:p w14:paraId="2C303963" w14:textId="77777777" w:rsidR="00994094" w:rsidRDefault="00994094" w:rsidP="00994094">
      <w:pPr>
        <w:pStyle w:val="Odstavecseseznamem"/>
        <w:spacing w:before="240"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Rada žádá o podrobné vysvětlení, jakým způsobem je v současné době SGP EXPRO monitorována a řízena, pokud k řádnému vyhodnocení SGP EXPRO je zapotřebí prodloužení SGP EXPRO. Z dané formulace vyvstávají pochybnosti o správném nastavení </w:t>
      </w:r>
      <w:r>
        <w:rPr>
          <w:rFonts w:ascii="Arial" w:hAnsi="Arial" w:cs="Arial"/>
          <w:sz w:val="22"/>
          <w:szCs w:val="22"/>
        </w:rPr>
        <w:lastRenderedPageBreak/>
        <w:t xml:space="preserve">SGP EXPRO, a to z pohledu monitoringu, hodnocení, a i celkově způsobu realizace SGP EXPRO. </w:t>
      </w:r>
    </w:p>
    <w:p w14:paraId="433C7616" w14:textId="5470D6A8" w:rsidR="00994094" w:rsidRPr="00994094" w:rsidRDefault="00994094" w:rsidP="00994094">
      <w:pPr>
        <w:spacing w:before="240" w:after="120"/>
        <w:ind w:left="360"/>
        <w:jc w:val="both"/>
        <w:rPr>
          <w:rFonts w:ascii="Arial" w:hAnsi="Arial" w:cs="Arial"/>
          <w:sz w:val="22"/>
          <w:szCs w:val="22"/>
        </w:rPr>
      </w:pPr>
      <w:r w:rsidRPr="00994094">
        <w:rPr>
          <w:rFonts w:ascii="Arial" w:hAnsi="Arial" w:cs="Arial"/>
          <w:sz w:val="22"/>
          <w:szCs w:val="22"/>
        </w:rPr>
        <w:t>Navíc se nejedná o ojedinělou situaci, protože např. u již ukončené skupiny grantových projektů „</w:t>
      </w:r>
      <w:r w:rsidRPr="00994094">
        <w:rPr>
          <w:rFonts w:ascii="Arial" w:hAnsi="Arial" w:cs="Arial"/>
          <w:i/>
          <w:iCs/>
          <w:sz w:val="22"/>
          <w:szCs w:val="22"/>
        </w:rPr>
        <w:t>Podpora mezinárodní spolupráce pro získávání ERC grantů – Podpora ERC žadatelů</w:t>
      </w:r>
      <w:r w:rsidRPr="00994094">
        <w:rPr>
          <w:rFonts w:ascii="Arial" w:hAnsi="Arial" w:cs="Arial"/>
          <w:sz w:val="22"/>
          <w:szCs w:val="22"/>
        </w:rPr>
        <w:t>“ byl za dobu trvání 5 let podpořen jen jeden projekt, přičemž Rada upozornila GAČR ve svém usnesení k bodu A6 z 407. zasedání Rady konané 13. prosince 2024 na</w:t>
      </w:r>
      <w:r w:rsidR="00304BFA">
        <w:rPr>
          <w:rFonts w:ascii="Arial" w:hAnsi="Arial" w:cs="Arial"/>
          <w:sz w:val="22"/>
          <w:szCs w:val="22"/>
        </w:rPr>
        <w:t> </w:t>
      </w:r>
      <w:r w:rsidRPr="00994094">
        <w:rPr>
          <w:rFonts w:ascii="Arial" w:hAnsi="Arial" w:cs="Arial"/>
          <w:sz w:val="22"/>
          <w:szCs w:val="22"/>
        </w:rPr>
        <w:t>následovné: „</w:t>
      </w:r>
      <w:r w:rsidRPr="00994094">
        <w:rPr>
          <w:rFonts w:ascii="Arial" w:hAnsi="Arial" w:cs="Arial"/>
          <w:i/>
          <w:iCs/>
          <w:sz w:val="22"/>
          <w:szCs w:val="22"/>
        </w:rPr>
        <w:t>Rada…</w:t>
      </w:r>
      <w:r w:rsidRPr="00994094">
        <w:rPr>
          <w:i/>
          <w:iCs/>
        </w:rPr>
        <w:t xml:space="preserve"> </w:t>
      </w:r>
      <w:r w:rsidRPr="00994094">
        <w:rPr>
          <w:rFonts w:ascii="Arial" w:hAnsi="Arial" w:cs="Arial"/>
          <w:i/>
          <w:iCs/>
          <w:sz w:val="22"/>
          <w:szCs w:val="22"/>
        </w:rPr>
        <w:t>doporučuje Grantové agentuře České republiky věnovat zvýšenou pozornost plnění cílů skupin grantových projektů v souvislosti s čerpáním prostředků na ně určených…</w:t>
      </w:r>
      <w:r w:rsidRPr="00994094">
        <w:rPr>
          <w:rFonts w:ascii="Arial" w:hAnsi="Arial" w:cs="Arial"/>
          <w:sz w:val="22"/>
          <w:szCs w:val="22"/>
        </w:rPr>
        <w:t>“ V návaznosti na to by bylo žádoucí Radu informovat, jakým způsobem GAČR dané reflektoval.</w:t>
      </w:r>
    </w:p>
    <w:p w14:paraId="018B0A6E" w14:textId="77777777" w:rsidR="00994094" w:rsidRPr="00B33A3A" w:rsidRDefault="00994094" w:rsidP="00994094">
      <w:pPr>
        <w:pStyle w:val="Odstavecseseznamem"/>
        <w:numPr>
          <w:ilvl w:val="0"/>
          <w:numId w:val="35"/>
        </w:numPr>
        <w:spacing w:before="240" w:after="120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předkládací zprávě, s. 2</w:t>
      </w:r>
    </w:p>
    <w:p w14:paraId="4E1BC8AB" w14:textId="77777777" w:rsidR="00994094" w:rsidRDefault="00994094" w:rsidP="009940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33A3A">
        <w:rPr>
          <w:rFonts w:ascii="Arial" w:hAnsi="Arial" w:cs="Arial"/>
          <w:sz w:val="22"/>
          <w:szCs w:val="22"/>
        </w:rPr>
        <w:t>Poskytovatel uvádí: „V delším časovém horizontu po ukončení řešení bude možné sledovat také výsledky s aplikačním potenciálem (např. patenty, nové technologie, spin-</w:t>
      </w:r>
      <w:proofErr w:type="spellStart"/>
      <w:r w:rsidRPr="00B33A3A">
        <w:rPr>
          <w:rFonts w:ascii="Arial" w:hAnsi="Arial" w:cs="Arial"/>
          <w:sz w:val="22"/>
          <w:szCs w:val="22"/>
        </w:rPr>
        <w:t>off</w:t>
      </w:r>
      <w:proofErr w:type="spellEnd"/>
      <w:r w:rsidRPr="00B33A3A">
        <w:rPr>
          <w:rFonts w:ascii="Arial" w:hAnsi="Arial" w:cs="Arial"/>
          <w:sz w:val="22"/>
          <w:szCs w:val="22"/>
        </w:rPr>
        <w:t xml:space="preserve"> firmy) a</w:t>
      </w:r>
      <w:r>
        <w:rPr>
          <w:rFonts w:ascii="Arial" w:hAnsi="Arial" w:cs="Arial"/>
          <w:sz w:val="22"/>
          <w:szCs w:val="22"/>
        </w:rPr>
        <w:t> </w:t>
      </w:r>
      <w:r w:rsidRPr="00B33A3A">
        <w:rPr>
          <w:rFonts w:ascii="Arial" w:hAnsi="Arial" w:cs="Arial"/>
          <w:sz w:val="22"/>
          <w:szCs w:val="22"/>
        </w:rPr>
        <w:t>jejich přínos k ekonomickému a společenskému rozvoji (například prostřednictvím komercializace výstupů).“</w:t>
      </w:r>
    </w:p>
    <w:p w14:paraId="1AEE367F" w14:textId="77777777" w:rsidR="00994094" w:rsidRPr="00B33A3A" w:rsidRDefault="00994094" w:rsidP="009940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33A3A">
        <w:rPr>
          <w:rFonts w:ascii="Arial" w:hAnsi="Arial" w:cs="Arial"/>
          <w:sz w:val="22"/>
          <w:szCs w:val="22"/>
        </w:rPr>
        <w:t>Rada žádá o doplnění kdo, kdy a jak bude výsledky s aplikačním potenciálem sledovat a</w:t>
      </w:r>
      <w:r>
        <w:rPr>
          <w:rFonts w:ascii="Arial" w:hAnsi="Arial" w:cs="Arial"/>
          <w:sz w:val="22"/>
          <w:szCs w:val="22"/>
        </w:rPr>
        <w:t> </w:t>
      </w:r>
      <w:r w:rsidRPr="00B33A3A">
        <w:rPr>
          <w:rFonts w:ascii="Arial" w:hAnsi="Arial" w:cs="Arial"/>
          <w:sz w:val="22"/>
          <w:szCs w:val="22"/>
        </w:rPr>
        <w:t>vyhodnocovat jejich přínos k ekonomickému a společenskému rozvoji.</w:t>
      </w:r>
    </w:p>
    <w:p w14:paraId="3FAD5411" w14:textId="77777777" w:rsidR="00994094" w:rsidRDefault="00994094" w:rsidP="00994094">
      <w:pPr>
        <w:spacing w:after="120"/>
        <w:ind w:firstLine="360"/>
        <w:jc w:val="both"/>
        <w:rPr>
          <w:rFonts w:ascii="Arial" w:hAnsi="Arial" w:cs="Arial"/>
          <w:sz w:val="22"/>
          <w:szCs w:val="22"/>
        </w:rPr>
      </w:pPr>
      <w:r w:rsidRPr="00B33A3A">
        <w:rPr>
          <w:rFonts w:ascii="Arial" w:hAnsi="Arial" w:cs="Arial"/>
          <w:sz w:val="22"/>
          <w:szCs w:val="22"/>
        </w:rPr>
        <w:t>Zdůvodnění:</w:t>
      </w:r>
    </w:p>
    <w:p w14:paraId="5CE1363C" w14:textId="218974D3" w:rsidR="00994094" w:rsidRPr="00994094" w:rsidRDefault="00994094" w:rsidP="009940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33A3A">
        <w:rPr>
          <w:rFonts w:ascii="Arial" w:hAnsi="Arial" w:cs="Arial"/>
          <w:sz w:val="22"/>
          <w:szCs w:val="22"/>
        </w:rPr>
        <w:t xml:space="preserve">Bez uvedeného vysvětlení zůstává tento obsahově velmi </w:t>
      </w:r>
      <w:r>
        <w:rPr>
          <w:rFonts w:ascii="Arial" w:hAnsi="Arial" w:cs="Arial"/>
          <w:sz w:val="22"/>
          <w:szCs w:val="22"/>
        </w:rPr>
        <w:t>důležitý</w:t>
      </w:r>
      <w:r w:rsidRPr="00B33A3A">
        <w:rPr>
          <w:rFonts w:ascii="Arial" w:hAnsi="Arial" w:cs="Arial"/>
          <w:sz w:val="22"/>
          <w:szCs w:val="22"/>
        </w:rPr>
        <w:t xml:space="preserve"> odstavec skutečně jen možností a </w:t>
      </w:r>
      <w:r>
        <w:rPr>
          <w:rFonts w:ascii="Arial" w:hAnsi="Arial" w:cs="Arial"/>
          <w:sz w:val="22"/>
          <w:szCs w:val="22"/>
        </w:rPr>
        <w:t xml:space="preserve">reálně </w:t>
      </w:r>
      <w:r w:rsidRPr="00B33A3A">
        <w:rPr>
          <w:rFonts w:ascii="Arial" w:hAnsi="Arial" w:cs="Arial"/>
          <w:sz w:val="22"/>
          <w:szCs w:val="22"/>
        </w:rPr>
        <w:t>nezamýšleným výstupem.</w:t>
      </w:r>
    </w:p>
    <w:p w14:paraId="46EA74BD" w14:textId="77777777" w:rsidR="00994094" w:rsidRPr="00F17B3B" w:rsidRDefault="00994094" w:rsidP="00994094">
      <w:pPr>
        <w:pStyle w:val="Odstavecseseznamem"/>
        <w:numPr>
          <w:ilvl w:val="0"/>
          <w:numId w:val="35"/>
        </w:numPr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Rada žádá zpřehlednění struktury materiálů</w:t>
      </w:r>
      <w:r>
        <w:rPr>
          <w:rFonts w:ascii="Arial" w:hAnsi="Arial" w:cs="Arial"/>
          <w:sz w:val="22"/>
          <w:szCs w:val="22"/>
        </w:rPr>
        <w:t xml:space="preserve"> (hierarchická a chronologická posloupnost)</w:t>
      </w:r>
      <w:r w:rsidRPr="00447459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447459">
        <w:rPr>
          <w:rFonts w:ascii="Arial" w:hAnsi="Arial" w:cs="Arial"/>
          <w:sz w:val="22"/>
          <w:szCs w:val="22"/>
        </w:rPr>
        <w:t>užitých pojmů</w:t>
      </w:r>
      <w:r>
        <w:rPr>
          <w:rFonts w:ascii="Arial" w:hAnsi="Arial" w:cs="Arial"/>
          <w:sz w:val="22"/>
          <w:szCs w:val="22"/>
        </w:rPr>
        <w:t xml:space="preserve"> (</w:t>
      </w:r>
      <w:r w:rsidRPr="00447459">
        <w:rPr>
          <w:rFonts w:ascii="Arial" w:hAnsi="Arial" w:cs="Arial"/>
          <w:sz w:val="22"/>
          <w:szCs w:val="22"/>
        </w:rPr>
        <w:t>hlavní cíle, dílčí cíle, zaměření,</w:t>
      </w:r>
      <w:r>
        <w:rPr>
          <w:rFonts w:ascii="Arial" w:hAnsi="Arial" w:cs="Arial"/>
          <w:sz w:val="22"/>
          <w:szCs w:val="22"/>
        </w:rPr>
        <w:t xml:space="preserve"> účel,</w:t>
      </w:r>
      <w:r w:rsidRPr="00447459">
        <w:rPr>
          <w:rFonts w:ascii="Arial" w:hAnsi="Arial" w:cs="Arial"/>
          <w:sz w:val="22"/>
          <w:szCs w:val="22"/>
        </w:rPr>
        <w:t xml:space="preserve"> očekávání, dopady</w:t>
      </w:r>
      <w:r>
        <w:rPr>
          <w:rFonts w:ascii="Arial" w:hAnsi="Arial" w:cs="Arial"/>
          <w:sz w:val="22"/>
          <w:szCs w:val="22"/>
        </w:rPr>
        <w:t>) včetně jejich obsahů</w:t>
      </w:r>
      <w:r w:rsidRPr="00447459">
        <w:rPr>
          <w:rFonts w:ascii="Arial" w:hAnsi="Arial" w:cs="Arial"/>
          <w:sz w:val="22"/>
          <w:szCs w:val="22"/>
        </w:rPr>
        <w:t xml:space="preserve"> a jejich důsledné, jednotné a</w:t>
      </w:r>
      <w:r>
        <w:rPr>
          <w:rFonts w:ascii="Arial" w:hAnsi="Arial" w:cs="Arial"/>
          <w:sz w:val="22"/>
          <w:szCs w:val="22"/>
        </w:rPr>
        <w:t> </w:t>
      </w:r>
      <w:r w:rsidRPr="00447459">
        <w:rPr>
          <w:rFonts w:ascii="Arial" w:hAnsi="Arial" w:cs="Arial"/>
          <w:sz w:val="22"/>
          <w:szCs w:val="22"/>
        </w:rPr>
        <w:t>jednoznačné použití v předložených dokumentech.</w:t>
      </w:r>
      <w:r>
        <w:rPr>
          <w:rFonts w:ascii="Arial" w:hAnsi="Arial" w:cs="Arial"/>
          <w:sz w:val="22"/>
          <w:szCs w:val="22"/>
        </w:rPr>
        <w:t xml:space="preserve"> Není žádoucí, a Rada žádá o úpravu, resp. doplnění materiálu, aby předkládací zpráva obsahovala preciznější informace než samotný materiál (viz 2. odstavec zdůvodnění této připomínky).</w:t>
      </w:r>
    </w:p>
    <w:p w14:paraId="2B8D4171" w14:textId="77777777" w:rsidR="00994094" w:rsidRPr="00F17B3B" w:rsidRDefault="00994094" w:rsidP="0099409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F17B3B">
        <w:rPr>
          <w:rFonts w:ascii="Arial" w:hAnsi="Arial" w:cs="Arial"/>
          <w:sz w:val="22"/>
          <w:szCs w:val="22"/>
        </w:rPr>
        <w:t>Zdůvodnění:</w:t>
      </w:r>
    </w:p>
    <w:p w14:paraId="65144A2A" w14:textId="62F99F5A" w:rsidR="00994094" w:rsidRPr="00447459" w:rsidRDefault="00994094" w:rsidP="0099409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Předkládací zpráva zmiňuje dílčí cíle, ale ze samotného materiálu není vůbec zřejmé, co</w:t>
      </w:r>
      <w:r>
        <w:rPr>
          <w:rFonts w:ascii="Arial" w:hAnsi="Arial" w:cs="Arial"/>
          <w:sz w:val="22"/>
          <w:szCs w:val="22"/>
        </w:rPr>
        <w:t> </w:t>
      </w:r>
      <w:r w:rsidRPr="00447459">
        <w:rPr>
          <w:rFonts w:ascii="Arial" w:hAnsi="Arial" w:cs="Arial"/>
          <w:sz w:val="22"/>
          <w:szCs w:val="22"/>
        </w:rPr>
        <w:t>je</w:t>
      </w:r>
      <w:r w:rsidR="00304BFA">
        <w:rPr>
          <w:rFonts w:ascii="Arial" w:hAnsi="Arial" w:cs="Arial"/>
          <w:sz w:val="22"/>
          <w:szCs w:val="22"/>
        </w:rPr>
        <w:t> </w:t>
      </w:r>
      <w:r w:rsidRPr="00447459">
        <w:rPr>
          <w:rFonts w:ascii="Arial" w:hAnsi="Arial" w:cs="Arial"/>
          <w:sz w:val="22"/>
          <w:szCs w:val="22"/>
        </w:rPr>
        <w:t>jimi myšleno.</w:t>
      </w:r>
    </w:p>
    <w:p w14:paraId="566E1D59" w14:textId="01414721" w:rsidR="00994094" w:rsidRPr="00447459" w:rsidRDefault="00994094" w:rsidP="0099409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V předkládací zprávě</w:t>
      </w:r>
      <w:r>
        <w:rPr>
          <w:rFonts w:ascii="Arial" w:hAnsi="Arial" w:cs="Arial"/>
          <w:sz w:val="22"/>
          <w:szCs w:val="22"/>
        </w:rPr>
        <w:t xml:space="preserve"> (v samotném materiálu takto explicitně nikoli – některé uvedené indikátory najdeme např. v 16. obecných kritériích hodnocení)</w:t>
      </w:r>
      <w:r w:rsidRPr="00447459">
        <w:rPr>
          <w:rFonts w:ascii="Arial" w:hAnsi="Arial" w:cs="Arial"/>
          <w:sz w:val="22"/>
          <w:szCs w:val="22"/>
        </w:rPr>
        <w:t xml:space="preserve"> je uvedeno: „Při hodnocení cílů a</w:t>
      </w:r>
      <w:r>
        <w:rPr>
          <w:rFonts w:ascii="Arial" w:hAnsi="Arial" w:cs="Arial"/>
          <w:sz w:val="22"/>
          <w:szCs w:val="22"/>
        </w:rPr>
        <w:t> </w:t>
      </w:r>
      <w:r w:rsidRPr="00447459">
        <w:rPr>
          <w:rFonts w:ascii="Arial" w:hAnsi="Arial" w:cs="Arial"/>
          <w:sz w:val="22"/>
          <w:szCs w:val="22"/>
        </w:rPr>
        <w:t>dopadů skupiny grantových projektů EXPRO budou sledovány následující kvantitativní indikátory:</w:t>
      </w:r>
    </w:p>
    <w:p w14:paraId="5968D558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 xml:space="preserve">počet podaných a získaných ERC grantů </w:t>
      </w:r>
    </w:p>
    <w:p w14:paraId="25CD6E08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 xml:space="preserve">úspěšnost v dalších mezinárodních grantových soutěžích (např. Horizon </w:t>
      </w:r>
      <w:proofErr w:type="spellStart"/>
      <w:r w:rsidRPr="00447459">
        <w:rPr>
          <w:rFonts w:ascii="Arial" w:hAnsi="Arial" w:cs="Arial"/>
          <w:sz w:val="22"/>
          <w:szCs w:val="22"/>
        </w:rPr>
        <w:t>Europe</w:t>
      </w:r>
      <w:proofErr w:type="spellEnd"/>
      <w:r w:rsidRPr="00447459">
        <w:rPr>
          <w:rFonts w:ascii="Arial" w:hAnsi="Arial" w:cs="Arial"/>
          <w:sz w:val="22"/>
          <w:szCs w:val="22"/>
        </w:rPr>
        <w:t>);</w:t>
      </w:r>
    </w:p>
    <w:p w14:paraId="5502F34F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 xml:space="preserve">vývoj </w:t>
      </w:r>
      <w:proofErr w:type="spellStart"/>
      <w:r w:rsidRPr="00447459">
        <w:rPr>
          <w:rFonts w:ascii="Arial" w:hAnsi="Arial" w:cs="Arial"/>
          <w:sz w:val="22"/>
          <w:szCs w:val="22"/>
        </w:rPr>
        <w:t>bibliometrických</w:t>
      </w:r>
      <w:proofErr w:type="spellEnd"/>
      <w:r w:rsidRPr="00447459">
        <w:rPr>
          <w:rFonts w:ascii="Arial" w:hAnsi="Arial" w:cs="Arial"/>
          <w:sz w:val="22"/>
          <w:szCs w:val="22"/>
        </w:rPr>
        <w:t xml:space="preserve"> ukazatelů (např. H-index, citovanost, počet publikací v impaktovaných časopisech) řešitelů a spoluřešitelů projektů EXPRO;</w:t>
      </w:r>
    </w:p>
    <w:p w14:paraId="6D3D05B2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 xml:space="preserve">vědecký výkon – počet publikací ve vysoce impaktovaných časopisech (první decil, kvartily), včetně nejcitovanějších výstupů (např. </w:t>
      </w:r>
      <w:proofErr w:type="spellStart"/>
      <w:r w:rsidRPr="00447459">
        <w:rPr>
          <w:rFonts w:ascii="Arial" w:hAnsi="Arial" w:cs="Arial"/>
          <w:sz w:val="22"/>
          <w:szCs w:val="22"/>
        </w:rPr>
        <w:t>Highly</w:t>
      </w:r>
      <w:proofErr w:type="spellEnd"/>
      <w:r w:rsidRPr="004474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459">
        <w:rPr>
          <w:rFonts w:ascii="Arial" w:hAnsi="Arial" w:cs="Arial"/>
          <w:sz w:val="22"/>
          <w:szCs w:val="22"/>
        </w:rPr>
        <w:t>Cited</w:t>
      </w:r>
      <w:proofErr w:type="spellEnd"/>
      <w:r w:rsidRPr="004474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459">
        <w:rPr>
          <w:rFonts w:ascii="Arial" w:hAnsi="Arial" w:cs="Arial"/>
          <w:sz w:val="22"/>
          <w:szCs w:val="22"/>
        </w:rPr>
        <w:t>Papers</w:t>
      </w:r>
      <w:proofErr w:type="spellEnd"/>
      <w:r w:rsidRPr="00447459">
        <w:rPr>
          <w:rFonts w:ascii="Arial" w:hAnsi="Arial" w:cs="Arial"/>
          <w:sz w:val="22"/>
          <w:szCs w:val="22"/>
        </w:rPr>
        <w:t xml:space="preserve">, Hot </w:t>
      </w:r>
      <w:proofErr w:type="spellStart"/>
      <w:r w:rsidRPr="00447459">
        <w:rPr>
          <w:rFonts w:ascii="Arial" w:hAnsi="Arial" w:cs="Arial"/>
          <w:sz w:val="22"/>
          <w:szCs w:val="22"/>
        </w:rPr>
        <w:t>Paper</w:t>
      </w:r>
      <w:proofErr w:type="spellEnd"/>
      <w:r w:rsidRPr="00447459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447459">
        <w:rPr>
          <w:rFonts w:ascii="Arial" w:hAnsi="Arial" w:cs="Arial"/>
          <w:sz w:val="22"/>
          <w:szCs w:val="22"/>
        </w:rPr>
        <w:t>publikace spadající mezi 1 % nejcitovanějších v daném roce a oboru);</w:t>
      </w:r>
    </w:p>
    <w:p w14:paraId="5910825C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počet dalších výstupů – např. prezentace na mezinárodních konferencích;</w:t>
      </w:r>
    </w:p>
    <w:p w14:paraId="6965F7A2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počet získaných významných ocenění (včetně studentských);</w:t>
      </w:r>
    </w:p>
    <w:p w14:paraId="07D9F77E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počet vychovaných a vedených studentů;</w:t>
      </w:r>
    </w:p>
    <w:p w14:paraId="4FF856FE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rozsah mezinárodní spolupráce (např. společné publikace, zapojení do mezinárodních výzkumných struktur);</w:t>
      </w:r>
    </w:p>
    <w:p w14:paraId="052E2D49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výše rozpočtu projektů a čerpání finančních prostředků;</w:t>
      </w:r>
    </w:p>
    <w:p w14:paraId="578C0948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lastRenderedPageBreak/>
        <w:t>efektivita využití finančních prostředků;</w:t>
      </w:r>
    </w:p>
    <w:p w14:paraId="324CFF1A" w14:textId="77777777" w:rsidR="00994094" w:rsidRPr="00447459" w:rsidRDefault="00994094" w:rsidP="00994094">
      <w:pPr>
        <w:numPr>
          <w:ilvl w:val="0"/>
          <w:numId w:val="38"/>
        </w:numPr>
        <w:spacing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struktura a velikost výzkumných týmů.“</w:t>
      </w:r>
    </w:p>
    <w:p w14:paraId="4EE34A28" w14:textId="77777777" w:rsidR="00994094" w:rsidRPr="00447459" w:rsidRDefault="00994094" w:rsidP="009940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Jsou tedy cíle a dopady chápany jako synonymní výrazy, když k nim jsou přiřazeny totožné indikátory? Je možné cíle a dopady posuzovat ve stejném okamžiku?</w:t>
      </w:r>
    </w:p>
    <w:p w14:paraId="00A0C5D7" w14:textId="77777777" w:rsidR="00994094" w:rsidRPr="00447459" w:rsidRDefault="00994094" w:rsidP="009940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S „podáním žádosti do jedné z hlavních výzev ERC“ se v předložených dokumentech pracuje jako s:</w:t>
      </w:r>
    </w:p>
    <w:p w14:paraId="32D26C66" w14:textId="77777777" w:rsidR="00994094" w:rsidRPr="00447459" w:rsidRDefault="00994094" w:rsidP="00994094">
      <w:pPr>
        <w:pStyle w:val="Odstavecseseznamem"/>
        <w:numPr>
          <w:ilvl w:val="0"/>
          <w:numId w:val="37"/>
        </w:numPr>
        <w:spacing w:after="120" w:line="259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logickým vyústěním úspěšně řešeného projektu v rámci skupiny grantových projektů EXPRO musí být aplikace do ERC (materiál, s. 8);</w:t>
      </w:r>
    </w:p>
    <w:p w14:paraId="4D954DBC" w14:textId="77777777" w:rsidR="00994094" w:rsidRPr="00447459" w:rsidRDefault="00994094" w:rsidP="00994094">
      <w:pPr>
        <w:pStyle w:val="Odstavecseseznamem"/>
        <w:numPr>
          <w:ilvl w:val="0"/>
          <w:numId w:val="37"/>
        </w:numPr>
        <w:spacing w:after="120" w:line="259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kritériem pro hodnocení projektu splněno/nesplněno (materiál, s. 12)</w:t>
      </w:r>
    </w:p>
    <w:p w14:paraId="73D411FA" w14:textId="77777777" w:rsidR="00994094" w:rsidRPr="00447459" w:rsidRDefault="00994094" w:rsidP="00994094">
      <w:pPr>
        <w:pStyle w:val="Odstavecseseznamem"/>
        <w:numPr>
          <w:ilvl w:val="0"/>
          <w:numId w:val="37"/>
        </w:numPr>
        <w:spacing w:after="120" w:line="259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>očekávaný</w:t>
      </w:r>
      <w:r>
        <w:rPr>
          <w:rFonts w:ascii="Arial" w:hAnsi="Arial" w:cs="Arial"/>
          <w:sz w:val="22"/>
          <w:szCs w:val="22"/>
        </w:rPr>
        <w:t>m</w:t>
      </w:r>
      <w:r w:rsidRPr="00447459">
        <w:rPr>
          <w:rFonts w:ascii="Arial" w:hAnsi="Arial" w:cs="Arial"/>
          <w:sz w:val="22"/>
          <w:szCs w:val="22"/>
        </w:rPr>
        <w:t xml:space="preserve"> přínos</w:t>
      </w:r>
      <w:r>
        <w:rPr>
          <w:rFonts w:ascii="Arial" w:hAnsi="Arial" w:cs="Arial"/>
          <w:sz w:val="22"/>
          <w:szCs w:val="22"/>
        </w:rPr>
        <w:t>em</w:t>
      </w:r>
      <w:r w:rsidRPr="00447459">
        <w:rPr>
          <w:rFonts w:ascii="Arial" w:hAnsi="Arial" w:cs="Arial"/>
          <w:sz w:val="22"/>
          <w:szCs w:val="22"/>
        </w:rPr>
        <w:t xml:space="preserve"> (materiál, s. 12);</w:t>
      </w:r>
    </w:p>
    <w:p w14:paraId="29C2A2E6" w14:textId="77777777" w:rsidR="00994094" w:rsidRPr="00447459" w:rsidRDefault="00994094" w:rsidP="00994094">
      <w:pPr>
        <w:pStyle w:val="Odstavecseseznamem"/>
        <w:numPr>
          <w:ilvl w:val="0"/>
          <w:numId w:val="37"/>
        </w:numPr>
        <w:spacing w:after="120" w:line="259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47459">
        <w:rPr>
          <w:rFonts w:ascii="Arial" w:hAnsi="Arial" w:cs="Arial"/>
          <w:sz w:val="22"/>
          <w:szCs w:val="22"/>
        </w:rPr>
        <w:t xml:space="preserve">jedním z kvantitativních indikátorů při hodnocení cílů a dopadů </w:t>
      </w:r>
      <w:r>
        <w:rPr>
          <w:rFonts w:ascii="Arial" w:hAnsi="Arial" w:cs="Arial"/>
          <w:sz w:val="22"/>
          <w:szCs w:val="22"/>
        </w:rPr>
        <w:t xml:space="preserve">SGP </w:t>
      </w:r>
      <w:r w:rsidRPr="00447459">
        <w:rPr>
          <w:rFonts w:ascii="Arial" w:hAnsi="Arial" w:cs="Arial"/>
          <w:sz w:val="22"/>
          <w:szCs w:val="22"/>
        </w:rPr>
        <w:t>EXPRO (předkládací zpráva, s. 2);</w:t>
      </w:r>
    </w:p>
    <w:p w14:paraId="5B198F39" w14:textId="021CD188" w:rsidR="00994094" w:rsidRPr="00994094" w:rsidRDefault="00994094" w:rsidP="00994094">
      <w:pPr>
        <w:pStyle w:val="Odstavecseseznamem"/>
        <w:numPr>
          <w:ilvl w:val="0"/>
          <w:numId w:val="37"/>
        </w:numPr>
        <w:spacing w:after="120" w:line="259" w:lineRule="auto"/>
        <w:ind w:left="720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cílem: </w:t>
      </w:r>
      <w:r w:rsidRPr="00447459">
        <w:rPr>
          <w:rFonts w:ascii="Arial" w:hAnsi="Arial" w:cs="Arial"/>
          <w:sz w:val="22"/>
          <w:szCs w:val="22"/>
        </w:rPr>
        <w:t>„i když ne všichni řešitelé byli úspěšní ve výzvách ERC, cíl SGP, podání návrhu do jedné z výzev ERC je naplňován“ (příloha Průběžné hodnocení skupiny grantových projektů EXPRO, s. 53)</w:t>
      </w:r>
      <w:r>
        <w:rPr>
          <w:rFonts w:ascii="Arial" w:hAnsi="Arial" w:cs="Arial"/>
          <w:sz w:val="22"/>
          <w:szCs w:val="22"/>
        </w:rPr>
        <w:t>.</w:t>
      </w:r>
    </w:p>
    <w:p w14:paraId="7E986CAC" w14:textId="77777777" w:rsidR="00994094" w:rsidRPr="0029784B" w:rsidRDefault="00994094" w:rsidP="00994094">
      <w:pPr>
        <w:pStyle w:val="Odstavecseseznamem"/>
        <w:numPr>
          <w:ilvl w:val="0"/>
          <w:numId w:val="35"/>
        </w:numPr>
        <w:spacing w:before="240" w:after="120"/>
        <w:ind w:left="360"/>
        <w:jc w:val="both"/>
        <w:rPr>
          <w:rFonts w:ascii="Arial" w:hAnsi="Arial" w:cs="Arial"/>
          <w:sz w:val="22"/>
          <w:szCs w:val="22"/>
        </w:rPr>
      </w:pPr>
      <w:r w:rsidRPr="0029784B">
        <w:rPr>
          <w:rFonts w:ascii="Arial" w:hAnsi="Arial" w:cs="Arial"/>
          <w:sz w:val="22"/>
          <w:szCs w:val="22"/>
        </w:rPr>
        <w:t>K materiálu, s. 7</w:t>
      </w:r>
    </w:p>
    <w:p w14:paraId="388E0310" w14:textId="77777777" w:rsidR="00994094" w:rsidRPr="0029784B" w:rsidRDefault="00994094" w:rsidP="00994094">
      <w:pPr>
        <w:spacing w:after="120"/>
        <w:ind w:firstLine="644"/>
        <w:jc w:val="both"/>
        <w:rPr>
          <w:rFonts w:ascii="Arial" w:hAnsi="Arial" w:cs="Arial"/>
          <w:sz w:val="22"/>
          <w:szCs w:val="22"/>
        </w:rPr>
      </w:pPr>
      <w:r w:rsidRPr="0029784B">
        <w:rPr>
          <w:rFonts w:ascii="Arial" w:hAnsi="Arial" w:cs="Arial"/>
          <w:sz w:val="22"/>
          <w:szCs w:val="22"/>
        </w:rPr>
        <w:t>Poskytovatel uvádí, že přílohy k tomuto návrhu SGP jsou:</w:t>
      </w:r>
    </w:p>
    <w:p w14:paraId="3B184AF7" w14:textId="77777777" w:rsidR="00994094" w:rsidRPr="0029784B" w:rsidRDefault="00994094" w:rsidP="00994094">
      <w:pPr>
        <w:pStyle w:val="Odstavecseseznamem"/>
        <w:numPr>
          <w:ilvl w:val="0"/>
          <w:numId w:val="43"/>
        </w:numPr>
        <w:spacing w:after="120"/>
        <w:ind w:left="720"/>
        <w:contextualSpacing w:val="0"/>
        <w:jc w:val="both"/>
        <w:rPr>
          <w:rFonts w:ascii="Arial" w:hAnsi="Arial" w:cs="Arial"/>
          <w:sz w:val="22"/>
          <w:szCs w:val="22"/>
        </w:rPr>
      </w:pPr>
      <w:r w:rsidRPr="0029784B">
        <w:rPr>
          <w:rFonts w:ascii="Arial" w:eastAsia="Calibri" w:hAnsi="Arial" w:cs="Arial"/>
          <w:sz w:val="22"/>
          <w:szCs w:val="22"/>
        </w:rPr>
        <w:t>„Projekty na podporu excelence v základním výzkumu 2012 a 2014“;</w:t>
      </w:r>
    </w:p>
    <w:p w14:paraId="2E00AA84" w14:textId="77777777" w:rsidR="00994094" w:rsidRPr="00B82899" w:rsidRDefault="00994094" w:rsidP="00994094">
      <w:pPr>
        <w:pStyle w:val="Odstavecseseznamem"/>
        <w:numPr>
          <w:ilvl w:val="0"/>
          <w:numId w:val="43"/>
        </w:numPr>
        <w:spacing w:after="120"/>
        <w:ind w:left="720"/>
        <w:contextualSpacing w:val="0"/>
        <w:jc w:val="both"/>
        <w:rPr>
          <w:rFonts w:ascii="Arial" w:hAnsi="Arial" w:cs="Arial"/>
          <w:sz w:val="22"/>
          <w:szCs w:val="22"/>
        </w:rPr>
      </w:pPr>
      <w:r w:rsidRPr="0029784B">
        <w:rPr>
          <w:rFonts w:ascii="Arial" w:eastAsia="Calibri" w:hAnsi="Arial" w:cs="Arial"/>
          <w:sz w:val="22"/>
          <w:szCs w:val="22"/>
        </w:rPr>
        <w:t>„Mezinárodní srovnání – ERC a Horizont 2020“.</w:t>
      </w:r>
    </w:p>
    <w:p w14:paraId="6A9A5A0D" w14:textId="77777777" w:rsidR="00994094" w:rsidRPr="0029784B" w:rsidRDefault="00994094" w:rsidP="00994094">
      <w:pPr>
        <w:spacing w:after="120"/>
        <w:ind w:firstLine="360"/>
        <w:jc w:val="both"/>
        <w:rPr>
          <w:rFonts w:ascii="Arial" w:eastAsia="Calibri" w:hAnsi="Arial" w:cs="Arial"/>
          <w:sz w:val="22"/>
          <w:szCs w:val="22"/>
        </w:rPr>
      </w:pPr>
      <w:r w:rsidRPr="0029784B">
        <w:rPr>
          <w:rFonts w:ascii="Arial" w:eastAsia="Calibri" w:hAnsi="Arial" w:cs="Arial"/>
          <w:sz w:val="22"/>
          <w:szCs w:val="22"/>
        </w:rPr>
        <w:t>Rada žádá o úpravu textu.</w:t>
      </w:r>
    </w:p>
    <w:p w14:paraId="3E7D853B" w14:textId="77777777" w:rsidR="00994094" w:rsidRDefault="00994094" w:rsidP="00994094">
      <w:pPr>
        <w:spacing w:after="120"/>
        <w:ind w:firstLine="360"/>
        <w:jc w:val="both"/>
        <w:rPr>
          <w:rFonts w:ascii="Arial" w:eastAsia="Calibri" w:hAnsi="Arial" w:cs="Arial"/>
          <w:sz w:val="22"/>
          <w:szCs w:val="22"/>
        </w:rPr>
      </w:pPr>
      <w:r w:rsidRPr="0029784B">
        <w:rPr>
          <w:rFonts w:ascii="Arial" w:eastAsia="Calibri" w:hAnsi="Arial" w:cs="Arial"/>
          <w:sz w:val="22"/>
          <w:szCs w:val="22"/>
        </w:rPr>
        <w:t>Zdůvodnění:</w:t>
      </w:r>
    </w:p>
    <w:p w14:paraId="20B80C35" w14:textId="269EFE5D" w:rsidR="00994094" w:rsidRDefault="00994094" w:rsidP="009940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82899">
        <w:rPr>
          <w:rFonts w:ascii="Arial" w:eastAsia="Calibri" w:hAnsi="Arial" w:cs="Arial"/>
          <w:sz w:val="22"/>
          <w:szCs w:val="22"/>
        </w:rPr>
        <w:t>Zmíněné přílohy přiloženy nejsou. Přiloženo je „</w:t>
      </w:r>
      <w:r w:rsidRPr="00B82899">
        <w:rPr>
          <w:rFonts w:ascii="Arial" w:hAnsi="Arial" w:cs="Arial"/>
          <w:sz w:val="22"/>
          <w:szCs w:val="22"/>
        </w:rPr>
        <w:t>Průběžné hodnocení skupiny grantových projektů EXPRO“.</w:t>
      </w:r>
    </w:p>
    <w:p w14:paraId="4FB9169C" w14:textId="379A00EB" w:rsidR="00994094" w:rsidRPr="00A209E1" w:rsidRDefault="00994094" w:rsidP="00994094">
      <w:pPr>
        <w:pStyle w:val="Odstavecseseznamem"/>
        <w:numPr>
          <w:ilvl w:val="0"/>
          <w:numId w:val="35"/>
        </w:numPr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09E1">
        <w:rPr>
          <w:rFonts w:ascii="Arial" w:hAnsi="Arial" w:cs="Arial"/>
          <w:sz w:val="22"/>
          <w:szCs w:val="22"/>
        </w:rPr>
        <w:t>Rada žádá doplnění textu (materiálu a předkládací zprávy) o referenční postavení NP</w:t>
      </w:r>
      <w:r w:rsidR="00304BFA">
        <w:rPr>
          <w:rFonts w:ascii="Arial" w:hAnsi="Arial" w:cs="Arial"/>
          <w:sz w:val="22"/>
          <w:szCs w:val="22"/>
        </w:rPr>
        <w:t> </w:t>
      </w:r>
      <w:proofErr w:type="spellStart"/>
      <w:r w:rsidRPr="00A209E1">
        <w:rPr>
          <w:rFonts w:ascii="Arial" w:hAnsi="Arial" w:cs="Arial"/>
          <w:sz w:val="22"/>
          <w:szCs w:val="22"/>
        </w:rPr>
        <w:t>VaVaI</w:t>
      </w:r>
      <w:proofErr w:type="spellEnd"/>
      <w:r w:rsidRPr="00A209E1">
        <w:rPr>
          <w:rFonts w:ascii="Arial" w:hAnsi="Arial" w:cs="Arial"/>
          <w:sz w:val="22"/>
          <w:szCs w:val="22"/>
        </w:rPr>
        <w:t xml:space="preserve"> 21+ včetně </w:t>
      </w:r>
      <w:proofErr w:type="spellStart"/>
      <w:r w:rsidRPr="00A209E1">
        <w:rPr>
          <w:rFonts w:ascii="Arial" w:hAnsi="Arial" w:cs="Arial"/>
          <w:sz w:val="22"/>
          <w:szCs w:val="22"/>
        </w:rPr>
        <w:t>provazby</w:t>
      </w:r>
      <w:proofErr w:type="spellEnd"/>
      <w:r w:rsidRPr="00A209E1">
        <w:rPr>
          <w:rFonts w:ascii="Arial" w:hAnsi="Arial" w:cs="Arial"/>
          <w:sz w:val="22"/>
          <w:szCs w:val="22"/>
        </w:rPr>
        <w:t xml:space="preserve"> SGP EXPRO na plnění opatření 6</w:t>
      </w:r>
      <w:r>
        <w:rPr>
          <w:rFonts w:ascii="Arial" w:hAnsi="Arial" w:cs="Arial"/>
          <w:sz w:val="22"/>
          <w:szCs w:val="22"/>
        </w:rPr>
        <w:t>, 12, 13.</w:t>
      </w:r>
    </w:p>
    <w:p w14:paraId="0AA531D9" w14:textId="77777777" w:rsidR="00994094" w:rsidRPr="00A209E1" w:rsidRDefault="00994094" w:rsidP="0099409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09E1">
        <w:rPr>
          <w:rFonts w:ascii="Arial" w:hAnsi="Arial" w:cs="Arial"/>
          <w:sz w:val="22"/>
          <w:szCs w:val="22"/>
        </w:rPr>
        <w:t>Zdůvodnění:</w:t>
      </w:r>
    </w:p>
    <w:p w14:paraId="7E75F6C5" w14:textId="77777777" w:rsidR="00994094" w:rsidRDefault="00994094" w:rsidP="0099409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Zmíněná opatření NP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21+ má poskytovatel ve výlučné nebo sdílené gesci a SGP EXPRO je nástrojem jejich plnění.</w:t>
      </w:r>
    </w:p>
    <w:p w14:paraId="0E88D277" w14:textId="77777777" w:rsidR="00994094" w:rsidRPr="00B73A33" w:rsidRDefault="00994094" w:rsidP="00994094">
      <w:pPr>
        <w:pStyle w:val="Odstavecseseznamem"/>
        <w:numPr>
          <w:ilvl w:val="0"/>
          <w:numId w:val="35"/>
        </w:numPr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B73A33">
        <w:rPr>
          <w:rFonts w:ascii="Arial" w:hAnsi="Arial" w:cs="Arial"/>
          <w:sz w:val="22"/>
          <w:szCs w:val="22"/>
        </w:rPr>
        <w:t>K materiálu, 19. Hodnocení výsledků projektů (ex post), k oddílu „nesplněno“</w:t>
      </w:r>
    </w:p>
    <w:p w14:paraId="31FECC1D" w14:textId="77777777" w:rsidR="00994094" w:rsidRDefault="00994094" w:rsidP="0099409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B73A33">
        <w:rPr>
          <w:rFonts w:ascii="Arial" w:hAnsi="Arial" w:cs="Arial"/>
          <w:sz w:val="22"/>
          <w:szCs w:val="22"/>
        </w:rPr>
        <w:t>Rada žádá o úpravu textu ve smyslu vyjmutí člena řešitelského týmu</w:t>
      </w:r>
      <w:r>
        <w:rPr>
          <w:rFonts w:ascii="Arial" w:hAnsi="Arial" w:cs="Arial"/>
          <w:sz w:val="22"/>
          <w:szCs w:val="22"/>
        </w:rPr>
        <w:t xml:space="preserve"> (pokud zůstane v materiálu nespecifikovaná výše a trvání jeho úvazku v rámci projektu)</w:t>
      </w:r>
      <w:r w:rsidRPr="00B73A33">
        <w:rPr>
          <w:rFonts w:ascii="Arial" w:hAnsi="Arial" w:cs="Arial"/>
          <w:sz w:val="22"/>
          <w:szCs w:val="22"/>
        </w:rPr>
        <w:t xml:space="preserve"> z hodnotícího kritéria v souvislosti s povinností požádat o grant ERC</w:t>
      </w:r>
      <w:r>
        <w:rPr>
          <w:rFonts w:ascii="Arial" w:hAnsi="Arial" w:cs="Arial"/>
          <w:sz w:val="22"/>
          <w:szCs w:val="22"/>
        </w:rPr>
        <w:t xml:space="preserve"> a </w:t>
      </w:r>
      <w:r w:rsidRPr="00B73A33">
        <w:rPr>
          <w:rFonts w:ascii="Arial" w:hAnsi="Arial" w:cs="Arial"/>
          <w:sz w:val="22"/>
          <w:szCs w:val="22"/>
        </w:rPr>
        <w:t>prodloužit období, kdy nebude moci podat řešitel, který tuto povinnost nesplnil, návrh projektu</w:t>
      </w:r>
      <w:r>
        <w:rPr>
          <w:rFonts w:ascii="Arial" w:hAnsi="Arial" w:cs="Arial"/>
          <w:sz w:val="22"/>
          <w:szCs w:val="22"/>
        </w:rPr>
        <w:t xml:space="preserve"> do </w:t>
      </w:r>
      <w:r w:rsidRPr="00B73A33">
        <w:rPr>
          <w:rFonts w:ascii="Arial" w:hAnsi="Arial" w:cs="Arial"/>
          <w:sz w:val="22"/>
          <w:szCs w:val="22"/>
        </w:rPr>
        <w:t>soutěží vyhlašovaných GA ČR</w:t>
      </w:r>
      <w:r>
        <w:rPr>
          <w:rFonts w:ascii="Arial" w:hAnsi="Arial" w:cs="Arial"/>
          <w:sz w:val="22"/>
          <w:szCs w:val="22"/>
        </w:rPr>
        <w:t>.</w:t>
      </w:r>
    </w:p>
    <w:p w14:paraId="16E946CF" w14:textId="77777777" w:rsidR="00994094" w:rsidRPr="0069147A" w:rsidRDefault="00994094" w:rsidP="0099409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69147A">
        <w:rPr>
          <w:rFonts w:ascii="Arial" w:hAnsi="Arial" w:cs="Arial"/>
          <w:sz w:val="22"/>
          <w:szCs w:val="22"/>
        </w:rPr>
        <w:t>Zdůvodnění:</w:t>
      </w:r>
    </w:p>
    <w:p w14:paraId="0E4E379D" w14:textId="77777777" w:rsidR="00994094" w:rsidRDefault="00994094" w:rsidP="00994094">
      <w:pPr>
        <w:pStyle w:val="Odstavecseseznamem"/>
        <w:spacing w:after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 specifikace výše a délky úvazku člena řešitelského kolektivu v rámci projektu nebude možné jednoznačně vyhodnotit přínos SGP EXPRO jako nástroje na podporu excelence v základním výzkumu.</w:t>
      </w:r>
    </w:p>
    <w:p w14:paraId="6B388C85" w14:textId="69B82F4A" w:rsidR="000C2244" w:rsidRDefault="00994094" w:rsidP="009940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SGP EXPRO jako celku a jednotlivým projektům je poskytována nadstandardní finanční podpora po dobu 5 let. Při nesplnění povinnosti požádat o ERC grant nelze navrhované období 3 let považovat za dostatečné sankční z hlediska vynaložených prostředků a ani samotné délky trvání projektu.</w:t>
      </w:r>
    </w:p>
    <w:p w14:paraId="7820749B" w14:textId="77777777" w:rsidR="00304BFA" w:rsidRDefault="00304BFA" w:rsidP="009940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14:paraId="28ABD471" w14:textId="77777777" w:rsidR="00304BFA" w:rsidRDefault="00304BFA" w:rsidP="00994094">
      <w:pPr>
        <w:spacing w:after="120"/>
        <w:ind w:left="360"/>
        <w:jc w:val="both"/>
        <w:rPr>
          <w:rFonts w:ascii="Arial" w:eastAsia="Calibri" w:hAnsi="Arial" w:cs="Arial"/>
          <w:sz w:val="22"/>
          <w:szCs w:val="22"/>
        </w:rPr>
      </w:pPr>
    </w:p>
    <w:p w14:paraId="4A73D2BC" w14:textId="3D6B5CB4" w:rsidR="00AF6B2A" w:rsidRPr="00AF6B2A" w:rsidRDefault="00AF6B2A" w:rsidP="00952B84">
      <w:pPr>
        <w:pStyle w:val="Odstavecseseznamem"/>
        <w:numPr>
          <w:ilvl w:val="0"/>
          <w:numId w:val="26"/>
        </w:numPr>
        <w:spacing w:before="24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b/>
          <w:color w:val="0070C0"/>
          <w:sz w:val="22"/>
          <w:szCs w:val="22"/>
        </w:rPr>
        <w:lastRenderedPageBreak/>
        <w:t>Závěr</w:t>
      </w:r>
    </w:p>
    <w:p w14:paraId="36E248DA" w14:textId="58CA8FFD" w:rsidR="00AF6B2A" w:rsidRPr="00AF6B2A" w:rsidRDefault="00845D40" w:rsidP="00AF6B2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10B8D">
        <w:rPr>
          <w:rFonts w:ascii="Arial" w:hAnsi="Arial" w:cs="Arial"/>
          <w:sz w:val="22"/>
          <w:szCs w:val="22"/>
        </w:rPr>
        <w:t xml:space="preserve">Rada souhlasí s návrhem změny </w:t>
      </w:r>
      <w:r>
        <w:rPr>
          <w:rFonts w:ascii="Arial" w:hAnsi="Arial" w:cs="Arial"/>
          <w:sz w:val="22"/>
          <w:szCs w:val="22"/>
        </w:rPr>
        <w:t>SGP EXPRO</w:t>
      </w:r>
      <w:r w:rsidRPr="00B10B8D">
        <w:rPr>
          <w:rFonts w:ascii="Arial" w:hAnsi="Arial" w:cs="Arial"/>
          <w:sz w:val="22"/>
          <w:szCs w:val="22"/>
        </w:rPr>
        <w:t xml:space="preserve"> po zapracování připomínek Rady a </w:t>
      </w:r>
      <w:r w:rsidRPr="000E1830">
        <w:rPr>
          <w:rFonts w:ascii="Arial" w:hAnsi="Arial" w:cs="Arial"/>
          <w:sz w:val="22"/>
          <w:szCs w:val="22"/>
        </w:rPr>
        <w:t>KHV a žádá Grantovou agenturu České republiky o zaslání vypořádání připomínek Rady a KHV</w:t>
      </w:r>
      <w:r w:rsidRPr="00B10B8D">
        <w:rPr>
          <w:rFonts w:ascii="Arial" w:hAnsi="Arial" w:cs="Arial"/>
          <w:sz w:val="22"/>
          <w:szCs w:val="22"/>
        </w:rPr>
        <w:t xml:space="preserve"> před předložením návrhu změny </w:t>
      </w:r>
      <w:r>
        <w:rPr>
          <w:rFonts w:ascii="Arial" w:hAnsi="Arial" w:cs="Arial"/>
          <w:sz w:val="22"/>
          <w:szCs w:val="22"/>
        </w:rPr>
        <w:t>SGP EXPRO</w:t>
      </w:r>
      <w:r w:rsidRPr="00B10B8D">
        <w:rPr>
          <w:rFonts w:ascii="Arial" w:hAnsi="Arial" w:cs="Arial"/>
          <w:sz w:val="22"/>
          <w:szCs w:val="22"/>
        </w:rPr>
        <w:t xml:space="preserve"> do meziresortního připomínkového řízení.</w:t>
      </w:r>
    </w:p>
    <w:p w14:paraId="08D5E673" w14:textId="77777777" w:rsidR="00AF6B2A" w:rsidRDefault="00AF6B2A" w:rsidP="00AF6B2A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8356D65" w14:textId="5E42BE04" w:rsidR="008D3D31" w:rsidRPr="006E3313" w:rsidRDefault="00AF6B2A" w:rsidP="006E331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sz w:val="22"/>
          <w:szCs w:val="22"/>
        </w:rPr>
        <w:t xml:space="preserve">V Praze dne </w:t>
      </w:r>
      <w:r w:rsidR="00687C67">
        <w:rPr>
          <w:rFonts w:ascii="Arial" w:hAnsi="Arial" w:cs="Arial"/>
          <w:sz w:val="22"/>
          <w:szCs w:val="22"/>
        </w:rPr>
        <w:t>27. června</w:t>
      </w:r>
      <w:r w:rsidRPr="00AF6B2A">
        <w:rPr>
          <w:rFonts w:ascii="Arial" w:hAnsi="Arial" w:cs="Arial"/>
          <w:sz w:val="22"/>
          <w:szCs w:val="22"/>
        </w:rPr>
        <w:t xml:space="preserve"> 2025</w:t>
      </w:r>
    </w:p>
    <w:sectPr w:rsidR="008D3D31" w:rsidRPr="006E3313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0BD07" w14:textId="77777777" w:rsidR="00AB38E0" w:rsidRDefault="00AB38E0" w:rsidP="008F77F6">
      <w:r>
        <w:separator/>
      </w:r>
    </w:p>
  </w:endnote>
  <w:endnote w:type="continuationSeparator" w:id="0">
    <w:p w14:paraId="30115731" w14:textId="77777777" w:rsidR="00AB38E0" w:rsidRDefault="00AB38E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C431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151614C" w14:textId="146BEB4F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DF252" wp14:editId="4CF6004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ADE16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-949001214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AF6B2A" w:rsidRPr="00AF6B2A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5408" behindDoc="0" locked="0" layoutInCell="1" allowOverlap="1" wp14:anchorId="3730DD6A" wp14:editId="68AAFFCD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762986588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1AD8E832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</w:sdtContent>
                </w:sd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476022F" wp14:editId="0E3E7CC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49E780F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C46CE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1BE3554" wp14:editId="5910D2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1335220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95A5591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871893">
                  <w:rPr>
                    <w:rFonts w:ascii="Arial" w:hAnsi="Arial" w:cs="Arial"/>
                    <w:sz w:val="16"/>
                    <w:szCs w:val="16"/>
                  </w:rPr>
                  <w:t>Změna SGP EXPRO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Content>
          <w:p w14:paraId="09BC7A31" w14:textId="3E1D18D7" w:rsidR="00B13622" w:rsidRPr="00AF6B2A" w:rsidRDefault="00B13622" w:rsidP="00B13622">
            <w:pPr>
              <w:pStyle w:val="Zpat"/>
              <w:rPr>
                <w:rFonts w:ascii="Arial" w:hAnsi="Arial" w:cs="Arial"/>
                <w:sz w:val="16"/>
                <w:szCs w:val="16"/>
              </w:rPr>
            </w:pPr>
            <w:r w:rsidRPr="00AF6B2A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EDBE4E" wp14:editId="3BAA66A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1E044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871893">
              <w:rPr>
                <w:rFonts w:ascii="Arial" w:hAnsi="Arial" w:cs="Arial"/>
                <w:sz w:val="16"/>
                <w:szCs w:val="16"/>
              </w:rPr>
              <w:t>Změna SGP EXPRO</w:t>
            </w:r>
            <w:r w:rsidRPr="00AF6B2A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AF6B2A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33167AC" wp14:editId="6962D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15314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ab/>
                  <w:t xml:space="preserve">Stránka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AA51A" w14:textId="77777777" w:rsidR="00AB38E0" w:rsidRDefault="00AB38E0" w:rsidP="008F77F6">
      <w:r>
        <w:separator/>
      </w:r>
    </w:p>
  </w:footnote>
  <w:footnote w:type="continuationSeparator" w:id="0">
    <w:p w14:paraId="21342A52" w14:textId="77777777" w:rsidR="00AB38E0" w:rsidRDefault="00AB38E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70F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E4483A8" wp14:editId="757B7674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E705D" w14:textId="13FF73CB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AD4733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3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EE6761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4483A8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CE705D" w14:textId="13FF73CB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AD4733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3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EE6761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1C7C49B6" wp14:editId="6724917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F06930"/>
    <w:multiLevelType w:val="hybridMultilevel"/>
    <w:tmpl w:val="44D866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6B4838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C62BE"/>
    <w:multiLevelType w:val="hybridMultilevel"/>
    <w:tmpl w:val="DB6C4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374D87"/>
    <w:multiLevelType w:val="hybridMultilevel"/>
    <w:tmpl w:val="A7585070"/>
    <w:lvl w:ilvl="0" w:tplc="F7FE8F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E29C5"/>
    <w:multiLevelType w:val="hybridMultilevel"/>
    <w:tmpl w:val="868A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00882"/>
    <w:multiLevelType w:val="hybridMultilevel"/>
    <w:tmpl w:val="24AC4DEE"/>
    <w:lvl w:ilvl="0" w:tplc="404C180E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BB44D97"/>
    <w:multiLevelType w:val="hybridMultilevel"/>
    <w:tmpl w:val="99004010"/>
    <w:lvl w:ilvl="0" w:tplc="29A650C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0070C0"/>
        <w:sz w:val="28"/>
        <w:szCs w:val="22"/>
      </w:rPr>
    </w:lvl>
    <w:lvl w:ilvl="1" w:tplc="55EC984E">
      <w:start w:val="1"/>
      <w:numFmt w:val="decimal"/>
      <w:lvlText w:val="%2)"/>
      <w:lvlJc w:val="left"/>
      <w:pPr>
        <w:ind w:left="141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2C4589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600A95"/>
    <w:multiLevelType w:val="hybridMultilevel"/>
    <w:tmpl w:val="C1FA4C9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194DE5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52C30"/>
    <w:multiLevelType w:val="multilevel"/>
    <w:tmpl w:val="B3288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F575C"/>
    <w:multiLevelType w:val="hybridMultilevel"/>
    <w:tmpl w:val="644E77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663D0E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B4933"/>
    <w:multiLevelType w:val="hybridMultilevel"/>
    <w:tmpl w:val="86120210"/>
    <w:lvl w:ilvl="0" w:tplc="04050011">
      <w:start w:val="1"/>
      <w:numFmt w:val="decimal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81FC37AE">
      <w:start w:val="1"/>
      <w:numFmt w:val="lowerLetter"/>
      <w:lvlText w:val="%2)"/>
      <w:lvlJc w:val="left"/>
      <w:pPr>
        <w:ind w:left="1083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68CD488F"/>
    <w:multiLevelType w:val="hybridMultilevel"/>
    <w:tmpl w:val="8C16BB0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94E2BC8"/>
    <w:multiLevelType w:val="hybridMultilevel"/>
    <w:tmpl w:val="0554DC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2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861E3A"/>
    <w:multiLevelType w:val="hybridMultilevel"/>
    <w:tmpl w:val="DA4071AA"/>
    <w:lvl w:ilvl="0" w:tplc="85F68F9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294696"/>
    <w:multiLevelType w:val="hybridMultilevel"/>
    <w:tmpl w:val="F5323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20"/>
  </w:num>
  <w:num w:numId="3" w16cid:durableId="1098527943">
    <w:abstractNumId w:val="9"/>
  </w:num>
  <w:num w:numId="4" w16cid:durableId="90512263">
    <w:abstractNumId w:val="11"/>
  </w:num>
  <w:num w:numId="5" w16cid:durableId="1430348738">
    <w:abstractNumId w:val="23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30"/>
  </w:num>
  <w:num w:numId="9" w16cid:durableId="1881090194">
    <w:abstractNumId w:val="13"/>
  </w:num>
  <w:num w:numId="10" w16cid:durableId="1309558488">
    <w:abstractNumId w:val="32"/>
  </w:num>
  <w:num w:numId="11" w16cid:durableId="90128545">
    <w:abstractNumId w:val="26"/>
  </w:num>
  <w:num w:numId="12" w16cid:durableId="778766677">
    <w:abstractNumId w:val="33"/>
  </w:num>
  <w:num w:numId="13" w16cid:durableId="167139912">
    <w:abstractNumId w:val="25"/>
  </w:num>
  <w:num w:numId="14" w16cid:durableId="305205252">
    <w:abstractNumId w:val="41"/>
  </w:num>
  <w:num w:numId="15" w16cid:durableId="864824891">
    <w:abstractNumId w:val="17"/>
  </w:num>
  <w:num w:numId="16" w16cid:durableId="43714592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4"/>
  </w:num>
  <w:num w:numId="18" w16cid:durableId="1607349755">
    <w:abstractNumId w:val="42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40"/>
  </w:num>
  <w:num w:numId="22" w16cid:durableId="99686336">
    <w:abstractNumId w:val="34"/>
  </w:num>
  <w:num w:numId="23" w16cid:durableId="1493335194">
    <w:abstractNumId w:val="4"/>
  </w:num>
  <w:num w:numId="24" w16cid:durableId="786581191">
    <w:abstractNumId w:val="15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2120949554">
    <w:abstractNumId w:val="22"/>
  </w:num>
  <w:num w:numId="27" w16cid:durableId="108014985">
    <w:abstractNumId w:val="24"/>
  </w:num>
  <w:num w:numId="28" w16cid:durableId="811562892">
    <w:abstractNumId w:val="19"/>
  </w:num>
  <w:num w:numId="29" w16cid:durableId="1383291290">
    <w:abstractNumId w:val="21"/>
  </w:num>
  <w:num w:numId="30" w16cid:durableId="1453209236">
    <w:abstractNumId w:val="31"/>
  </w:num>
  <w:num w:numId="31" w16cid:durableId="1367944432">
    <w:abstractNumId w:val="7"/>
  </w:num>
  <w:num w:numId="32" w16cid:durableId="1641808969">
    <w:abstractNumId w:val="39"/>
  </w:num>
  <w:num w:numId="33" w16cid:durableId="2024093559">
    <w:abstractNumId w:val="37"/>
  </w:num>
  <w:num w:numId="34" w16cid:durableId="908927580">
    <w:abstractNumId w:val="43"/>
  </w:num>
  <w:num w:numId="35" w16cid:durableId="1000238229">
    <w:abstractNumId w:val="28"/>
  </w:num>
  <w:num w:numId="36" w16cid:durableId="491069890">
    <w:abstractNumId w:val="35"/>
  </w:num>
  <w:num w:numId="37" w16cid:durableId="215286775">
    <w:abstractNumId w:val="38"/>
  </w:num>
  <w:num w:numId="38" w16cid:durableId="928586953">
    <w:abstractNumId w:val="44"/>
  </w:num>
  <w:num w:numId="39" w16cid:durableId="2047369354">
    <w:abstractNumId w:val="36"/>
  </w:num>
  <w:num w:numId="40" w16cid:durableId="1393966283">
    <w:abstractNumId w:val="8"/>
  </w:num>
  <w:num w:numId="41" w16cid:durableId="268708887">
    <w:abstractNumId w:val="29"/>
  </w:num>
  <w:num w:numId="42" w16cid:durableId="1361129884">
    <w:abstractNumId w:val="27"/>
  </w:num>
  <w:num w:numId="43" w16cid:durableId="1198662097">
    <w:abstractNumId w:val="12"/>
  </w:num>
  <w:num w:numId="44" w16cid:durableId="1803957589">
    <w:abstractNumId w:val="16"/>
  </w:num>
  <w:num w:numId="45" w16cid:durableId="13966576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47"/>
    <w:rsid w:val="0000012F"/>
    <w:rsid w:val="00004BB8"/>
    <w:rsid w:val="000120D6"/>
    <w:rsid w:val="00015D6C"/>
    <w:rsid w:val="00016B78"/>
    <w:rsid w:val="0002313D"/>
    <w:rsid w:val="00024A50"/>
    <w:rsid w:val="00026F35"/>
    <w:rsid w:val="00033327"/>
    <w:rsid w:val="000338D9"/>
    <w:rsid w:val="00035EFD"/>
    <w:rsid w:val="00035F5C"/>
    <w:rsid w:val="0004141C"/>
    <w:rsid w:val="00041AC0"/>
    <w:rsid w:val="00043BB4"/>
    <w:rsid w:val="00046091"/>
    <w:rsid w:val="000472F8"/>
    <w:rsid w:val="0004756D"/>
    <w:rsid w:val="0005170E"/>
    <w:rsid w:val="000549A1"/>
    <w:rsid w:val="000562B1"/>
    <w:rsid w:val="000574CE"/>
    <w:rsid w:val="00060D62"/>
    <w:rsid w:val="0006296F"/>
    <w:rsid w:val="00064087"/>
    <w:rsid w:val="00065A59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55D9"/>
    <w:rsid w:val="00086B42"/>
    <w:rsid w:val="000942EB"/>
    <w:rsid w:val="000943E9"/>
    <w:rsid w:val="000B314A"/>
    <w:rsid w:val="000B347D"/>
    <w:rsid w:val="000C1F1B"/>
    <w:rsid w:val="000C2009"/>
    <w:rsid w:val="000C2244"/>
    <w:rsid w:val="000C4503"/>
    <w:rsid w:val="000C4A33"/>
    <w:rsid w:val="000C7099"/>
    <w:rsid w:val="000C7CA6"/>
    <w:rsid w:val="000D0E51"/>
    <w:rsid w:val="000E1830"/>
    <w:rsid w:val="000E29A9"/>
    <w:rsid w:val="000E3C17"/>
    <w:rsid w:val="000E5261"/>
    <w:rsid w:val="000E7427"/>
    <w:rsid w:val="000F0A56"/>
    <w:rsid w:val="000F1F8E"/>
    <w:rsid w:val="000F6342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148E"/>
    <w:rsid w:val="001268F8"/>
    <w:rsid w:val="001272E3"/>
    <w:rsid w:val="00141482"/>
    <w:rsid w:val="00144C07"/>
    <w:rsid w:val="00152006"/>
    <w:rsid w:val="00156192"/>
    <w:rsid w:val="00157380"/>
    <w:rsid w:val="00162A96"/>
    <w:rsid w:val="00163448"/>
    <w:rsid w:val="00164B81"/>
    <w:rsid w:val="001671D2"/>
    <w:rsid w:val="00176933"/>
    <w:rsid w:val="00183C16"/>
    <w:rsid w:val="00193DBE"/>
    <w:rsid w:val="001942F6"/>
    <w:rsid w:val="00197C0D"/>
    <w:rsid w:val="001A23A1"/>
    <w:rsid w:val="001A24A6"/>
    <w:rsid w:val="001A6585"/>
    <w:rsid w:val="001B2327"/>
    <w:rsid w:val="001B2DBC"/>
    <w:rsid w:val="001B32DA"/>
    <w:rsid w:val="001B346D"/>
    <w:rsid w:val="001B78C5"/>
    <w:rsid w:val="001C04DF"/>
    <w:rsid w:val="001C1F2F"/>
    <w:rsid w:val="001C3564"/>
    <w:rsid w:val="001C70F7"/>
    <w:rsid w:val="001D03E6"/>
    <w:rsid w:val="001D0791"/>
    <w:rsid w:val="001D1E7E"/>
    <w:rsid w:val="001D210E"/>
    <w:rsid w:val="001D25AE"/>
    <w:rsid w:val="001D2DF6"/>
    <w:rsid w:val="001D34CE"/>
    <w:rsid w:val="001D3920"/>
    <w:rsid w:val="001D43F8"/>
    <w:rsid w:val="001E0316"/>
    <w:rsid w:val="001E38CB"/>
    <w:rsid w:val="001F190C"/>
    <w:rsid w:val="001F1F98"/>
    <w:rsid w:val="001F25B2"/>
    <w:rsid w:val="001F2765"/>
    <w:rsid w:val="001F38CB"/>
    <w:rsid w:val="001F5492"/>
    <w:rsid w:val="00200490"/>
    <w:rsid w:val="002019BD"/>
    <w:rsid w:val="00201B1F"/>
    <w:rsid w:val="00215834"/>
    <w:rsid w:val="00215F97"/>
    <w:rsid w:val="00225149"/>
    <w:rsid w:val="0022699E"/>
    <w:rsid w:val="002276E6"/>
    <w:rsid w:val="00227993"/>
    <w:rsid w:val="00230132"/>
    <w:rsid w:val="00231040"/>
    <w:rsid w:val="002351AE"/>
    <w:rsid w:val="00237006"/>
    <w:rsid w:val="00237892"/>
    <w:rsid w:val="00244CE6"/>
    <w:rsid w:val="002457E3"/>
    <w:rsid w:val="00245F90"/>
    <w:rsid w:val="00245FA2"/>
    <w:rsid w:val="00253052"/>
    <w:rsid w:val="00253FE7"/>
    <w:rsid w:val="00257470"/>
    <w:rsid w:val="00264A24"/>
    <w:rsid w:val="00265A36"/>
    <w:rsid w:val="00266AB1"/>
    <w:rsid w:val="002701B8"/>
    <w:rsid w:val="00271833"/>
    <w:rsid w:val="00275C98"/>
    <w:rsid w:val="0027714E"/>
    <w:rsid w:val="00280782"/>
    <w:rsid w:val="00283DBF"/>
    <w:rsid w:val="0028411C"/>
    <w:rsid w:val="002855A7"/>
    <w:rsid w:val="0028576B"/>
    <w:rsid w:val="00293109"/>
    <w:rsid w:val="002931EB"/>
    <w:rsid w:val="00293583"/>
    <w:rsid w:val="00296E55"/>
    <w:rsid w:val="0029727E"/>
    <w:rsid w:val="00297311"/>
    <w:rsid w:val="0029784B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35B7"/>
    <w:rsid w:val="0030455B"/>
    <w:rsid w:val="00304BFA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47AD"/>
    <w:rsid w:val="0036654A"/>
    <w:rsid w:val="003718B7"/>
    <w:rsid w:val="00371954"/>
    <w:rsid w:val="0037287E"/>
    <w:rsid w:val="003744AA"/>
    <w:rsid w:val="0037508D"/>
    <w:rsid w:val="003776A2"/>
    <w:rsid w:val="00380015"/>
    <w:rsid w:val="003819E4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3C9"/>
    <w:rsid w:val="003C126D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E77B2"/>
    <w:rsid w:val="003F40C6"/>
    <w:rsid w:val="00400F71"/>
    <w:rsid w:val="00403A63"/>
    <w:rsid w:val="00407FCF"/>
    <w:rsid w:val="00414FDE"/>
    <w:rsid w:val="00423DB2"/>
    <w:rsid w:val="00424438"/>
    <w:rsid w:val="00425791"/>
    <w:rsid w:val="0043282E"/>
    <w:rsid w:val="0043363D"/>
    <w:rsid w:val="004369C1"/>
    <w:rsid w:val="00440882"/>
    <w:rsid w:val="00441F71"/>
    <w:rsid w:val="00443D2C"/>
    <w:rsid w:val="00447459"/>
    <w:rsid w:val="004511DF"/>
    <w:rsid w:val="0045567B"/>
    <w:rsid w:val="004600B2"/>
    <w:rsid w:val="0046041D"/>
    <w:rsid w:val="00465CFE"/>
    <w:rsid w:val="0047377A"/>
    <w:rsid w:val="004772BC"/>
    <w:rsid w:val="0048037B"/>
    <w:rsid w:val="004804E7"/>
    <w:rsid w:val="00486F44"/>
    <w:rsid w:val="00491080"/>
    <w:rsid w:val="0049162B"/>
    <w:rsid w:val="0049236E"/>
    <w:rsid w:val="00493CD2"/>
    <w:rsid w:val="004945C1"/>
    <w:rsid w:val="0049468F"/>
    <w:rsid w:val="00494874"/>
    <w:rsid w:val="00494F11"/>
    <w:rsid w:val="0049610F"/>
    <w:rsid w:val="0049707B"/>
    <w:rsid w:val="004A2DB8"/>
    <w:rsid w:val="004A467E"/>
    <w:rsid w:val="004C1E47"/>
    <w:rsid w:val="004C2973"/>
    <w:rsid w:val="004C32A7"/>
    <w:rsid w:val="004C3B35"/>
    <w:rsid w:val="004C3B42"/>
    <w:rsid w:val="004C6CF3"/>
    <w:rsid w:val="004C7CD8"/>
    <w:rsid w:val="004D0F2A"/>
    <w:rsid w:val="004D1459"/>
    <w:rsid w:val="004D15A9"/>
    <w:rsid w:val="004D4214"/>
    <w:rsid w:val="004D49EC"/>
    <w:rsid w:val="004D62CB"/>
    <w:rsid w:val="004E0A6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36E0D"/>
    <w:rsid w:val="00546E0C"/>
    <w:rsid w:val="00556F91"/>
    <w:rsid w:val="0055771A"/>
    <w:rsid w:val="00557FA8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2C0B"/>
    <w:rsid w:val="005970A0"/>
    <w:rsid w:val="00597B47"/>
    <w:rsid w:val="005A01E9"/>
    <w:rsid w:val="005A22BD"/>
    <w:rsid w:val="005A2C67"/>
    <w:rsid w:val="005A5FC7"/>
    <w:rsid w:val="005B0E8C"/>
    <w:rsid w:val="005B204D"/>
    <w:rsid w:val="005B220B"/>
    <w:rsid w:val="005C1E7B"/>
    <w:rsid w:val="005C1F3E"/>
    <w:rsid w:val="005C2485"/>
    <w:rsid w:val="005C393C"/>
    <w:rsid w:val="005C4D28"/>
    <w:rsid w:val="005C5322"/>
    <w:rsid w:val="005C6648"/>
    <w:rsid w:val="005D09CC"/>
    <w:rsid w:val="005D1709"/>
    <w:rsid w:val="005D2002"/>
    <w:rsid w:val="005D460F"/>
    <w:rsid w:val="005D68E0"/>
    <w:rsid w:val="005E249A"/>
    <w:rsid w:val="005E43C2"/>
    <w:rsid w:val="005F43A8"/>
    <w:rsid w:val="005F550B"/>
    <w:rsid w:val="00601CAC"/>
    <w:rsid w:val="00602688"/>
    <w:rsid w:val="00602C6F"/>
    <w:rsid w:val="0061400F"/>
    <w:rsid w:val="006148A3"/>
    <w:rsid w:val="006168DA"/>
    <w:rsid w:val="00616978"/>
    <w:rsid w:val="00616D9D"/>
    <w:rsid w:val="00617289"/>
    <w:rsid w:val="00617BF3"/>
    <w:rsid w:val="0062369D"/>
    <w:rsid w:val="00631137"/>
    <w:rsid w:val="00631742"/>
    <w:rsid w:val="00631B57"/>
    <w:rsid w:val="00632405"/>
    <w:rsid w:val="0063251D"/>
    <w:rsid w:val="00632ED1"/>
    <w:rsid w:val="00633086"/>
    <w:rsid w:val="00633688"/>
    <w:rsid w:val="00641492"/>
    <w:rsid w:val="00642809"/>
    <w:rsid w:val="0064533A"/>
    <w:rsid w:val="00647998"/>
    <w:rsid w:val="00647B96"/>
    <w:rsid w:val="00647F38"/>
    <w:rsid w:val="00652259"/>
    <w:rsid w:val="00653A89"/>
    <w:rsid w:val="00653C3C"/>
    <w:rsid w:val="006559C8"/>
    <w:rsid w:val="00657FCE"/>
    <w:rsid w:val="0066357A"/>
    <w:rsid w:val="00673D89"/>
    <w:rsid w:val="0067491F"/>
    <w:rsid w:val="006830AB"/>
    <w:rsid w:val="00683EBD"/>
    <w:rsid w:val="00687C67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4F3E"/>
    <w:rsid w:val="006D5C29"/>
    <w:rsid w:val="006D5E21"/>
    <w:rsid w:val="006D608B"/>
    <w:rsid w:val="006D68B2"/>
    <w:rsid w:val="006D7BC6"/>
    <w:rsid w:val="006E13FC"/>
    <w:rsid w:val="006E3313"/>
    <w:rsid w:val="006E3699"/>
    <w:rsid w:val="006E36D4"/>
    <w:rsid w:val="006E4A95"/>
    <w:rsid w:val="006E5921"/>
    <w:rsid w:val="006E791D"/>
    <w:rsid w:val="007006BB"/>
    <w:rsid w:val="00702111"/>
    <w:rsid w:val="00704150"/>
    <w:rsid w:val="0070553C"/>
    <w:rsid w:val="00706594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3B84"/>
    <w:rsid w:val="007550B7"/>
    <w:rsid w:val="00756010"/>
    <w:rsid w:val="00756CAA"/>
    <w:rsid w:val="007609D3"/>
    <w:rsid w:val="00764B28"/>
    <w:rsid w:val="00765705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559B"/>
    <w:rsid w:val="007D6955"/>
    <w:rsid w:val="007D7FED"/>
    <w:rsid w:val="007E2C12"/>
    <w:rsid w:val="007E321C"/>
    <w:rsid w:val="007F3BC2"/>
    <w:rsid w:val="007F44FD"/>
    <w:rsid w:val="007F4F3F"/>
    <w:rsid w:val="00801F6C"/>
    <w:rsid w:val="00803F6F"/>
    <w:rsid w:val="00810AA0"/>
    <w:rsid w:val="00811008"/>
    <w:rsid w:val="008129CC"/>
    <w:rsid w:val="00813A7C"/>
    <w:rsid w:val="008166CF"/>
    <w:rsid w:val="00816E2E"/>
    <w:rsid w:val="00820D70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D40"/>
    <w:rsid w:val="00845F8A"/>
    <w:rsid w:val="00845FA1"/>
    <w:rsid w:val="00847729"/>
    <w:rsid w:val="0085063B"/>
    <w:rsid w:val="008536EA"/>
    <w:rsid w:val="00854107"/>
    <w:rsid w:val="00857192"/>
    <w:rsid w:val="00857793"/>
    <w:rsid w:val="008623AE"/>
    <w:rsid w:val="00864895"/>
    <w:rsid w:val="00870DE1"/>
    <w:rsid w:val="00871893"/>
    <w:rsid w:val="0087277D"/>
    <w:rsid w:val="00872E10"/>
    <w:rsid w:val="0087568F"/>
    <w:rsid w:val="00876001"/>
    <w:rsid w:val="0087725E"/>
    <w:rsid w:val="00882EF6"/>
    <w:rsid w:val="00883D7D"/>
    <w:rsid w:val="0089347B"/>
    <w:rsid w:val="00893727"/>
    <w:rsid w:val="0089463A"/>
    <w:rsid w:val="0089743E"/>
    <w:rsid w:val="008A603A"/>
    <w:rsid w:val="008A69B5"/>
    <w:rsid w:val="008A7244"/>
    <w:rsid w:val="008B0267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5491"/>
    <w:rsid w:val="008E0DAB"/>
    <w:rsid w:val="008E2BFC"/>
    <w:rsid w:val="008E5718"/>
    <w:rsid w:val="008F1A79"/>
    <w:rsid w:val="008F262B"/>
    <w:rsid w:val="008F330B"/>
    <w:rsid w:val="008F428C"/>
    <w:rsid w:val="008F77F6"/>
    <w:rsid w:val="0090049F"/>
    <w:rsid w:val="009008AA"/>
    <w:rsid w:val="00904141"/>
    <w:rsid w:val="0090482F"/>
    <w:rsid w:val="00913D9B"/>
    <w:rsid w:val="00923D06"/>
    <w:rsid w:val="009254DF"/>
    <w:rsid w:val="009300D3"/>
    <w:rsid w:val="00931AEE"/>
    <w:rsid w:val="00935CDE"/>
    <w:rsid w:val="009366F5"/>
    <w:rsid w:val="009369FE"/>
    <w:rsid w:val="009408F3"/>
    <w:rsid w:val="00942E4F"/>
    <w:rsid w:val="00944903"/>
    <w:rsid w:val="00946879"/>
    <w:rsid w:val="00952319"/>
    <w:rsid w:val="00952B84"/>
    <w:rsid w:val="00954A38"/>
    <w:rsid w:val="00955A00"/>
    <w:rsid w:val="0096168D"/>
    <w:rsid w:val="0096205B"/>
    <w:rsid w:val="009705F5"/>
    <w:rsid w:val="00970685"/>
    <w:rsid w:val="0097475D"/>
    <w:rsid w:val="009758E5"/>
    <w:rsid w:val="00975E6F"/>
    <w:rsid w:val="00977888"/>
    <w:rsid w:val="0098348B"/>
    <w:rsid w:val="009834F3"/>
    <w:rsid w:val="009856E7"/>
    <w:rsid w:val="009908C6"/>
    <w:rsid w:val="00994094"/>
    <w:rsid w:val="00995CCC"/>
    <w:rsid w:val="009969E5"/>
    <w:rsid w:val="009A1C78"/>
    <w:rsid w:val="009A5FB2"/>
    <w:rsid w:val="009A6A4C"/>
    <w:rsid w:val="009A7DC4"/>
    <w:rsid w:val="009B5A68"/>
    <w:rsid w:val="009B6E96"/>
    <w:rsid w:val="009C7CDF"/>
    <w:rsid w:val="009D3AC9"/>
    <w:rsid w:val="009D789B"/>
    <w:rsid w:val="009E3266"/>
    <w:rsid w:val="009E35A3"/>
    <w:rsid w:val="009E4F1C"/>
    <w:rsid w:val="009E5B49"/>
    <w:rsid w:val="009E660F"/>
    <w:rsid w:val="009F24A2"/>
    <w:rsid w:val="009F28C9"/>
    <w:rsid w:val="009F3A84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11D"/>
    <w:rsid w:val="00A63E50"/>
    <w:rsid w:val="00A63E81"/>
    <w:rsid w:val="00A63EA1"/>
    <w:rsid w:val="00A643C0"/>
    <w:rsid w:val="00A658BE"/>
    <w:rsid w:val="00A65BA6"/>
    <w:rsid w:val="00A6693F"/>
    <w:rsid w:val="00A712CF"/>
    <w:rsid w:val="00A730B3"/>
    <w:rsid w:val="00A739E4"/>
    <w:rsid w:val="00A73DF7"/>
    <w:rsid w:val="00A751D5"/>
    <w:rsid w:val="00A7729A"/>
    <w:rsid w:val="00A773C9"/>
    <w:rsid w:val="00A8213E"/>
    <w:rsid w:val="00A8463A"/>
    <w:rsid w:val="00A916E4"/>
    <w:rsid w:val="00A91EAC"/>
    <w:rsid w:val="00AA35D6"/>
    <w:rsid w:val="00AA38A4"/>
    <w:rsid w:val="00AA5DA0"/>
    <w:rsid w:val="00AA5DAE"/>
    <w:rsid w:val="00AA6A69"/>
    <w:rsid w:val="00AB38E0"/>
    <w:rsid w:val="00AB3E70"/>
    <w:rsid w:val="00AC2E42"/>
    <w:rsid w:val="00AC5E4F"/>
    <w:rsid w:val="00AD4733"/>
    <w:rsid w:val="00AD4AA4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6B2A"/>
    <w:rsid w:val="00AF7813"/>
    <w:rsid w:val="00B00B36"/>
    <w:rsid w:val="00B06CFD"/>
    <w:rsid w:val="00B0750E"/>
    <w:rsid w:val="00B109F1"/>
    <w:rsid w:val="00B120CD"/>
    <w:rsid w:val="00B13622"/>
    <w:rsid w:val="00B1453C"/>
    <w:rsid w:val="00B1657A"/>
    <w:rsid w:val="00B220C2"/>
    <w:rsid w:val="00B26E0F"/>
    <w:rsid w:val="00B3172E"/>
    <w:rsid w:val="00B33A3A"/>
    <w:rsid w:val="00B33DC6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141A"/>
    <w:rsid w:val="00B62251"/>
    <w:rsid w:val="00B63243"/>
    <w:rsid w:val="00B659E7"/>
    <w:rsid w:val="00B65B0D"/>
    <w:rsid w:val="00B65CC8"/>
    <w:rsid w:val="00B6729E"/>
    <w:rsid w:val="00B702E9"/>
    <w:rsid w:val="00B73DC8"/>
    <w:rsid w:val="00B75958"/>
    <w:rsid w:val="00B774D1"/>
    <w:rsid w:val="00B77AB3"/>
    <w:rsid w:val="00B77FA6"/>
    <w:rsid w:val="00B82899"/>
    <w:rsid w:val="00B844AE"/>
    <w:rsid w:val="00B8455D"/>
    <w:rsid w:val="00B85160"/>
    <w:rsid w:val="00B859BB"/>
    <w:rsid w:val="00B93D21"/>
    <w:rsid w:val="00BA2EE8"/>
    <w:rsid w:val="00BB06E8"/>
    <w:rsid w:val="00BB129B"/>
    <w:rsid w:val="00BB2B4B"/>
    <w:rsid w:val="00BB524A"/>
    <w:rsid w:val="00BC383C"/>
    <w:rsid w:val="00BC46CE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4C34"/>
    <w:rsid w:val="00C26D21"/>
    <w:rsid w:val="00C307C8"/>
    <w:rsid w:val="00C30D0E"/>
    <w:rsid w:val="00C33A80"/>
    <w:rsid w:val="00C40669"/>
    <w:rsid w:val="00C42228"/>
    <w:rsid w:val="00C42C24"/>
    <w:rsid w:val="00C42D67"/>
    <w:rsid w:val="00C45DF1"/>
    <w:rsid w:val="00C51755"/>
    <w:rsid w:val="00C52863"/>
    <w:rsid w:val="00C53666"/>
    <w:rsid w:val="00C60EAF"/>
    <w:rsid w:val="00C67DDE"/>
    <w:rsid w:val="00C67FA2"/>
    <w:rsid w:val="00C7019E"/>
    <w:rsid w:val="00C7042A"/>
    <w:rsid w:val="00C72E8E"/>
    <w:rsid w:val="00C75C9F"/>
    <w:rsid w:val="00C7705A"/>
    <w:rsid w:val="00C812E3"/>
    <w:rsid w:val="00C90AE6"/>
    <w:rsid w:val="00C95968"/>
    <w:rsid w:val="00C95C0A"/>
    <w:rsid w:val="00C96EEE"/>
    <w:rsid w:val="00CA1D69"/>
    <w:rsid w:val="00CA1DD6"/>
    <w:rsid w:val="00CA4563"/>
    <w:rsid w:val="00CA7990"/>
    <w:rsid w:val="00CB2D2F"/>
    <w:rsid w:val="00CB52DF"/>
    <w:rsid w:val="00CC175F"/>
    <w:rsid w:val="00CC370F"/>
    <w:rsid w:val="00CC4B59"/>
    <w:rsid w:val="00CC7432"/>
    <w:rsid w:val="00CD15C6"/>
    <w:rsid w:val="00CD48FE"/>
    <w:rsid w:val="00CD5928"/>
    <w:rsid w:val="00CE1416"/>
    <w:rsid w:val="00CE4273"/>
    <w:rsid w:val="00CF1B0D"/>
    <w:rsid w:val="00CF4DBE"/>
    <w:rsid w:val="00CF6180"/>
    <w:rsid w:val="00CF7073"/>
    <w:rsid w:val="00D02186"/>
    <w:rsid w:val="00D0565F"/>
    <w:rsid w:val="00D152A4"/>
    <w:rsid w:val="00D1557C"/>
    <w:rsid w:val="00D26DED"/>
    <w:rsid w:val="00D30D6E"/>
    <w:rsid w:val="00D31D67"/>
    <w:rsid w:val="00D320CE"/>
    <w:rsid w:val="00D32312"/>
    <w:rsid w:val="00D348EB"/>
    <w:rsid w:val="00D34E54"/>
    <w:rsid w:val="00D365EF"/>
    <w:rsid w:val="00D40848"/>
    <w:rsid w:val="00D42C79"/>
    <w:rsid w:val="00D432F2"/>
    <w:rsid w:val="00D46BDF"/>
    <w:rsid w:val="00D53EF7"/>
    <w:rsid w:val="00D62773"/>
    <w:rsid w:val="00D743FC"/>
    <w:rsid w:val="00D75299"/>
    <w:rsid w:val="00D76732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34B1"/>
    <w:rsid w:val="00DB0141"/>
    <w:rsid w:val="00DB0A59"/>
    <w:rsid w:val="00DB1B50"/>
    <w:rsid w:val="00DB545A"/>
    <w:rsid w:val="00DB5F9F"/>
    <w:rsid w:val="00DB7D79"/>
    <w:rsid w:val="00DB7EE9"/>
    <w:rsid w:val="00DC247D"/>
    <w:rsid w:val="00DC24FD"/>
    <w:rsid w:val="00DC2AEA"/>
    <w:rsid w:val="00DC5FE9"/>
    <w:rsid w:val="00DC7643"/>
    <w:rsid w:val="00DD237A"/>
    <w:rsid w:val="00DD76EA"/>
    <w:rsid w:val="00DE6014"/>
    <w:rsid w:val="00DE62AD"/>
    <w:rsid w:val="00DE6522"/>
    <w:rsid w:val="00DE7133"/>
    <w:rsid w:val="00DF116D"/>
    <w:rsid w:val="00DF4459"/>
    <w:rsid w:val="00E030A8"/>
    <w:rsid w:val="00E05D2E"/>
    <w:rsid w:val="00E071CD"/>
    <w:rsid w:val="00E076D0"/>
    <w:rsid w:val="00E1050B"/>
    <w:rsid w:val="00E10F2A"/>
    <w:rsid w:val="00E1259E"/>
    <w:rsid w:val="00E152FF"/>
    <w:rsid w:val="00E21915"/>
    <w:rsid w:val="00E221DD"/>
    <w:rsid w:val="00E23B8B"/>
    <w:rsid w:val="00E23CE7"/>
    <w:rsid w:val="00E254A5"/>
    <w:rsid w:val="00E27B5C"/>
    <w:rsid w:val="00E3018F"/>
    <w:rsid w:val="00E31069"/>
    <w:rsid w:val="00E32A09"/>
    <w:rsid w:val="00E3679C"/>
    <w:rsid w:val="00E41A5B"/>
    <w:rsid w:val="00E44CF3"/>
    <w:rsid w:val="00E500B7"/>
    <w:rsid w:val="00E51DC7"/>
    <w:rsid w:val="00E551C8"/>
    <w:rsid w:val="00E56B01"/>
    <w:rsid w:val="00E57BC0"/>
    <w:rsid w:val="00E636D4"/>
    <w:rsid w:val="00E64785"/>
    <w:rsid w:val="00E65AC9"/>
    <w:rsid w:val="00E70C40"/>
    <w:rsid w:val="00E7382A"/>
    <w:rsid w:val="00E7704B"/>
    <w:rsid w:val="00E8073F"/>
    <w:rsid w:val="00E816B2"/>
    <w:rsid w:val="00E82C93"/>
    <w:rsid w:val="00E83A72"/>
    <w:rsid w:val="00E8409C"/>
    <w:rsid w:val="00E85EA4"/>
    <w:rsid w:val="00E87A37"/>
    <w:rsid w:val="00E907F0"/>
    <w:rsid w:val="00E90863"/>
    <w:rsid w:val="00E917DE"/>
    <w:rsid w:val="00E92F24"/>
    <w:rsid w:val="00E94BD8"/>
    <w:rsid w:val="00E95AAD"/>
    <w:rsid w:val="00EA673A"/>
    <w:rsid w:val="00EB7070"/>
    <w:rsid w:val="00EC1384"/>
    <w:rsid w:val="00EC175B"/>
    <w:rsid w:val="00EC2224"/>
    <w:rsid w:val="00EC2802"/>
    <w:rsid w:val="00EC50FA"/>
    <w:rsid w:val="00EC6CAE"/>
    <w:rsid w:val="00ED1193"/>
    <w:rsid w:val="00ED281E"/>
    <w:rsid w:val="00ED3991"/>
    <w:rsid w:val="00ED4155"/>
    <w:rsid w:val="00ED627A"/>
    <w:rsid w:val="00EE4920"/>
    <w:rsid w:val="00EE6761"/>
    <w:rsid w:val="00EF6FB6"/>
    <w:rsid w:val="00EF74ED"/>
    <w:rsid w:val="00F0137B"/>
    <w:rsid w:val="00F01556"/>
    <w:rsid w:val="00F038F1"/>
    <w:rsid w:val="00F05174"/>
    <w:rsid w:val="00F117E5"/>
    <w:rsid w:val="00F16012"/>
    <w:rsid w:val="00F17B3B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0918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6168"/>
    <w:rsid w:val="00F939FC"/>
    <w:rsid w:val="00F93B55"/>
    <w:rsid w:val="00FA3624"/>
    <w:rsid w:val="00FA3A92"/>
    <w:rsid w:val="00FA5371"/>
    <w:rsid w:val="00FB4178"/>
    <w:rsid w:val="00FB42F1"/>
    <w:rsid w:val="00FC02BE"/>
    <w:rsid w:val="00FC3087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A963"/>
  <w15:docId w15:val="{59E86CFB-09E1-4C2B-BB4B-1DE1305B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,Nad1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uiPriority w:val="34"/>
    <w:qFormat/>
    <w:rsid w:val="00AF6B2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C224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0C2244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m\Documents\M&#352;MT\STRATIN+\ZZ%20STRATIN+\411%20Ax%20ZZ%20STRATI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 Ax ZZ STRATIN.dotx</Template>
  <TotalTime>419</TotalTime>
  <Pages>8</Pages>
  <Words>2799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Novotná Marie</cp:lastModifiedBy>
  <cp:revision>28</cp:revision>
  <cp:lastPrinted>2020-10-29T10:28:00Z</cp:lastPrinted>
  <dcterms:created xsi:type="dcterms:W3CDTF">2025-05-14T18:34:00Z</dcterms:created>
  <dcterms:modified xsi:type="dcterms:W3CDTF">2025-06-11T05:53:00Z</dcterms:modified>
</cp:coreProperties>
</file>